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D1248D">
      <w:pPr>
        <w:jc w:val="center"/>
        <w:rPr>
          <w:rFonts w:hint="eastAsia" w:ascii="Times New Roman" w:eastAsia="仿宋"/>
          <w:b/>
          <w:bCs/>
          <w:sz w:val="24"/>
          <w:szCs w:val="24"/>
          <w:lang w:val="en-US" w:eastAsia="zh-CN"/>
        </w:rPr>
      </w:pPr>
      <w:bookmarkStart w:id="0" w:name="_Toc18969"/>
      <w:r>
        <w:rPr>
          <w:rFonts w:hint="eastAsia" w:ascii="Times New Roman" w:eastAsia="仿宋"/>
          <w:b/>
          <w:bCs/>
          <w:sz w:val="24"/>
          <w:szCs w:val="24"/>
          <w:lang w:eastAsia="zh-CN"/>
        </w:rPr>
        <w:t>康定市东大街及新市后街城市更新项目</w:t>
      </w:r>
      <w:r>
        <w:rPr>
          <w:rFonts w:hint="eastAsia" w:ascii="Times New Roman" w:eastAsia="仿宋"/>
          <w:b/>
          <w:bCs/>
          <w:sz w:val="24"/>
          <w:szCs w:val="24"/>
          <w:lang w:val="en-US" w:eastAsia="zh-CN"/>
        </w:rPr>
        <w:t>情况</w:t>
      </w:r>
    </w:p>
    <w:p w14:paraId="587F472F">
      <w:pPr>
        <w:keepNext w:val="0"/>
        <w:keepLines w:val="0"/>
        <w:pageBreakBefore w:val="0"/>
        <w:widowControl/>
        <w:kinsoku/>
        <w:wordWrap/>
        <w:overflowPunct/>
        <w:topLinePunct w:val="0"/>
        <w:autoSpaceDE/>
        <w:autoSpaceDN/>
        <w:bidi w:val="0"/>
        <w:adjustRightInd/>
        <w:snapToGrid/>
        <w:spacing w:before="0" w:after="0"/>
        <w:ind w:firstLine="0" w:firstLineChars="0"/>
        <w:jc w:val="both"/>
        <w:textAlignment w:val="auto"/>
        <w:outlineLvl w:val="0"/>
        <w:rPr>
          <w:rFonts w:ascii="Times New Roman" w:hAnsi="Times New Roman" w:eastAsia="仿宋" w:cs="Times New Roman"/>
          <w:b/>
          <w:bCs/>
          <w:sz w:val="24"/>
          <w:szCs w:val="24"/>
        </w:rPr>
      </w:pPr>
      <w:bookmarkStart w:id="1" w:name="_Toc8137"/>
      <w:r>
        <w:rPr>
          <w:rFonts w:ascii="Times New Roman" w:hAnsi="Times New Roman" w:eastAsia="仿宋" w:cs="Times New Roman"/>
          <w:b/>
          <w:bCs/>
          <w:sz w:val="24"/>
          <w:szCs w:val="24"/>
        </w:rPr>
        <w:t>一、项目基本情况</w:t>
      </w:r>
      <w:bookmarkEnd w:id="1"/>
    </w:p>
    <w:p w14:paraId="7342DA46">
      <w:pPr>
        <w:keepNext w:val="0"/>
        <w:keepLines w:val="0"/>
        <w:pageBreakBefore w:val="0"/>
        <w:widowControl/>
        <w:kinsoku/>
        <w:wordWrap/>
        <w:overflowPunct/>
        <w:topLinePunct w:val="0"/>
        <w:autoSpaceDE/>
        <w:autoSpaceDN/>
        <w:bidi w:val="0"/>
        <w:adjustRightInd/>
        <w:snapToGrid/>
        <w:spacing w:before="0" w:after="0"/>
        <w:ind w:firstLine="562"/>
        <w:jc w:val="both"/>
        <w:textAlignment w:val="auto"/>
        <w:outlineLvl w:val="1"/>
        <w:rPr>
          <w:rFonts w:ascii="Times New Roman" w:hAnsi="Times New Roman" w:eastAsia="仿宋" w:cs="Times New Roman"/>
          <w:b/>
          <w:bCs/>
          <w:sz w:val="24"/>
          <w:szCs w:val="24"/>
        </w:rPr>
      </w:pPr>
      <w:bookmarkStart w:id="2" w:name="_Toc7583"/>
      <w:bookmarkStart w:id="3" w:name="_Toc16358"/>
      <w:bookmarkStart w:id="4" w:name="_Toc67"/>
      <w:r>
        <w:rPr>
          <w:rFonts w:ascii="Times New Roman" w:hAnsi="Times New Roman" w:eastAsia="仿宋" w:cs="Times New Roman"/>
          <w:b/>
          <w:bCs/>
          <w:sz w:val="24"/>
          <w:szCs w:val="24"/>
        </w:rPr>
        <w:t>（一）</w:t>
      </w:r>
      <w:r>
        <w:rPr>
          <w:rFonts w:hint="eastAsia" w:ascii="Times New Roman" w:hAnsi="Times New Roman" w:eastAsia="仿宋" w:cs="Times New Roman"/>
          <w:b/>
          <w:bCs/>
          <w:sz w:val="24"/>
          <w:szCs w:val="24"/>
        </w:rPr>
        <w:t>国民经济和社会发展及行业专项规划概况</w:t>
      </w:r>
      <w:bookmarkEnd w:id="2"/>
      <w:bookmarkEnd w:id="3"/>
      <w:bookmarkEnd w:id="4"/>
    </w:p>
    <w:p w14:paraId="483A9361">
      <w:pPr>
        <w:keepNext w:val="0"/>
        <w:keepLines w:val="0"/>
        <w:pageBreakBefore w:val="0"/>
        <w:widowControl/>
        <w:kinsoku/>
        <w:wordWrap/>
        <w:overflowPunct/>
        <w:topLinePunct w:val="0"/>
        <w:autoSpaceDE/>
        <w:autoSpaceDN/>
        <w:bidi w:val="0"/>
        <w:adjustRightInd/>
        <w:snapToGrid/>
        <w:spacing w:before="0" w:after="0"/>
        <w:ind w:firstLine="562"/>
        <w:jc w:val="both"/>
        <w:textAlignment w:val="auto"/>
        <w:outlineLvl w:val="2"/>
        <w:rPr>
          <w:rFonts w:hint="eastAsia" w:ascii="Times New Roman" w:hAnsi="Times New Roman" w:eastAsia="仿宋" w:cs="Times New Roman"/>
          <w:b/>
          <w:bCs/>
          <w:sz w:val="24"/>
          <w:szCs w:val="24"/>
        </w:rPr>
      </w:pPr>
      <w:bookmarkStart w:id="5" w:name="_Toc98184856"/>
      <w:r>
        <w:rPr>
          <w:rFonts w:hint="eastAsia" w:ascii="Times New Roman" w:hAnsi="Times New Roman" w:eastAsia="仿宋" w:cs="Times New Roman"/>
          <w:b/>
          <w:bCs/>
          <w:sz w:val="24"/>
          <w:szCs w:val="24"/>
        </w:rPr>
        <w:t>1、</w:t>
      </w:r>
      <w:bookmarkEnd w:id="5"/>
      <w:r>
        <w:rPr>
          <w:rFonts w:hint="eastAsia" w:ascii="Times New Roman" w:hAnsi="Times New Roman" w:eastAsia="仿宋" w:cs="Times New Roman"/>
          <w:b/>
          <w:bCs/>
          <w:sz w:val="24"/>
          <w:szCs w:val="24"/>
        </w:rPr>
        <w:t>“十四五”规划关于城市更新规划概况</w:t>
      </w:r>
    </w:p>
    <w:p w14:paraId="5AB446A4">
      <w:pPr>
        <w:spacing w:before="0" w:after="0" w:line="240" w:lineRule="auto"/>
        <w:ind w:firstLine="560"/>
        <w:contextualSpacing/>
        <w:jc w:val="both"/>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四川省国民经济和社会发展第十四个五年规划和2035年远景目标纲要》提出：全面提升城市品质。实施城市更新行动，加强城市规划设计，强化城中村和城乡接合部的规划建设管理。建设韧性城市，提升城市建筑灾害防御能力，完善应急基础设施。建设绿色城市，打造生态休闲公园和绿色健身廊道，构建城市生态绿地系统，优化城市路网结构，提升绿色出行便利程度。建设智慧城市，推进社区治理、交通管理等领域智慧创新应用。建设人文城市，传承历史文脉，保护城市传统风貌，加强历史文化街区保护利用，建设文化休闲街区。改造老旧街区、老旧小区、老旧厂区，改善提升人居环境质量。推动智能建造、绿色建材与建筑工业化协同发展。</w:t>
      </w:r>
    </w:p>
    <w:p w14:paraId="176C3002">
      <w:pPr>
        <w:spacing w:before="0" w:after="0" w:line="240" w:lineRule="auto"/>
        <w:ind w:firstLine="560"/>
        <w:contextualSpacing/>
        <w:jc w:val="both"/>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甘孜藏族自治州国民经济和社会发展第十四个五年规划和二〇三五年远景目标纲要》提出：建设宜居宜业城镇。巩固“18+2”魅力县城建设成果，培育创建省级百强中心镇，建设省级特色小镇。开展县城基础设施补短板行动，加快城镇道路桥梁、供水排水、消防安全、停车场等基础设施建设，推进城镇供水、污水和垃圾处理设施建设与运营。实施城市更新行动，加强城镇老旧小区改造，实施绿化、亮化、美化、净化工程，打造公园城镇。建设4个高海拔县城供氧设施，新建扩建11个县城集中供暖设施，推广太阳能建筑应用，鼓励采用新型建材、新型建造方式，新建免维护、零碳排放建筑。完善城镇公共服务设施，推进智慧安全社区建设。完善城镇商贸网点布局，开展集市交易试点，培育“赶场”经济。</w:t>
      </w:r>
    </w:p>
    <w:p w14:paraId="1E65F059">
      <w:pPr>
        <w:spacing w:before="0" w:after="0" w:line="240" w:lineRule="auto"/>
        <w:ind w:firstLine="560"/>
        <w:contextualSpacing/>
        <w:jc w:val="both"/>
        <w:rPr>
          <w:rFonts w:ascii="Times New Roman" w:hAnsi="Times New Roman" w:eastAsia="仿宋" w:cs="Times New Roman"/>
          <w:sz w:val="24"/>
          <w:szCs w:val="24"/>
        </w:rPr>
      </w:pPr>
      <w:r>
        <w:rPr>
          <w:rFonts w:hint="eastAsia" w:ascii="Times New Roman" w:hAnsi="Times New Roman" w:eastAsia="仿宋" w:cs="Times New Roman"/>
          <w:sz w:val="24"/>
          <w:szCs w:val="24"/>
        </w:rPr>
        <w:t>《康定市国民经济和社会发展第十四个五年规划和二〇三五年远景目标纲要》提出：提高城镇综合承载能力。围绕建设宜居宜业宜游城镇，加快完善基础设施和公共服务。加强城镇道路、桥梁、公共停车场、充电桩等交通设施建设，实施城镇供水工程和排水防涝工程，加强城镇水厂、污水和垃圾处理设施建设与运营，有序开展地下综合管（廊）线规划建设。实施城市修补工作，加强城镇风貌建设，完善老旧小区改造及水电、路、气、绿化等配套基础设施，加大新都桥、金汤等集镇沿线建筑立面整治力度，打造公园城镇。完善城镇教育、医疗、就业、文化等公共服务设施，大力发展城镇公交，促进城镇公共服务向农村延伸。实施城市地热集中供暖工程</w:t>
      </w:r>
      <w:r>
        <w:rPr>
          <w:rFonts w:ascii="Times New Roman" w:hAnsi="Times New Roman" w:eastAsia="仿宋" w:cs="Times New Roman"/>
          <w:sz w:val="24"/>
          <w:szCs w:val="24"/>
        </w:rPr>
        <w:t>。</w:t>
      </w:r>
    </w:p>
    <w:p w14:paraId="6D8DC7D8">
      <w:pPr>
        <w:spacing w:before="0" w:after="0" w:line="240" w:lineRule="auto"/>
        <w:ind w:firstLine="562"/>
        <w:jc w:val="both"/>
        <w:outlineLvl w:val="2"/>
        <w:rPr>
          <w:rFonts w:ascii="Times New Roman" w:hAnsi="Times New Roman" w:eastAsia="仿宋" w:cs="Times New Roman"/>
          <w:b/>
          <w:bCs/>
          <w:sz w:val="24"/>
          <w:szCs w:val="24"/>
        </w:rPr>
      </w:pPr>
      <w:bookmarkStart w:id="6" w:name="_Toc98184857"/>
      <w:r>
        <w:rPr>
          <w:rFonts w:ascii="Times New Roman" w:hAnsi="Times New Roman" w:eastAsia="仿宋" w:cs="Times New Roman"/>
          <w:b/>
          <w:bCs/>
          <w:sz w:val="24"/>
          <w:szCs w:val="24"/>
        </w:rPr>
        <w:t>2、</w:t>
      </w:r>
      <w:bookmarkEnd w:id="6"/>
      <w:r>
        <w:rPr>
          <w:rFonts w:hint="eastAsia" w:ascii="Times New Roman" w:hAnsi="Times New Roman" w:eastAsia="仿宋" w:cs="Times New Roman"/>
          <w:b/>
          <w:bCs/>
          <w:sz w:val="24"/>
          <w:szCs w:val="24"/>
        </w:rPr>
        <w:t>行业专项规划</w:t>
      </w:r>
    </w:p>
    <w:p w14:paraId="4C7411F6">
      <w:pPr>
        <w:spacing w:before="0" w:after="0" w:line="240" w:lineRule="auto"/>
        <w:ind w:firstLine="560"/>
        <w:contextualSpacing/>
        <w:jc w:val="both"/>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住房城乡建设部关于扎实有序推进城市更新工作的通知》（建科〔2023〕30号）提出，发挥城市更新规划统筹作用。依据城市体检结果，编制城市更新专项规划和年度实施计划，结合国民经济和社会发展规划，系统谋划城市更新工作目标、重点任务和实施措施，划定城市更新单元，建立项目库，明确项目实施计划安排。坚持尽力而为、量力而行，统筹推动既有建筑更新改造、城镇老旧小区改造、完整社区建设、活力街区打造、城市生态修复、城市功能完善、基础设施更新改造、城市生命线安全工程建设、历史街区和历史建筑保护传承、城市数字化基础设施建设等城市更新工作。</w:t>
      </w:r>
    </w:p>
    <w:p w14:paraId="30B3BB7E">
      <w:pPr>
        <w:spacing w:before="0" w:after="0" w:line="240" w:lineRule="auto"/>
        <w:ind w:firstLine="560"/>
        <w:contextualSpacing/>
        <w:jc w:val="both"/>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四川省城市更新工作指引》提出，对具有一定建成年限、设施环境有待提升的老旧居住区、低效公共空间，通过建筑或设施局部改建、修缮翻新、功能置换、景观整治等方式，更新改造市政基础设施，多途径补增公服设施，打造15分钟生活圈。对老旧商业区、老旧厂区等，通过腾退优化产业空间、混合升级功能业态等方式，植入新经济、新业态、新场景，促进产业转型与能级提升。以“资源利用、彰显特色”为更新价值导向，有序腾退老旧商业区低端业态，推进传统业态升级改造，植入新业态，营造新场景，培育特色性的主题商业，形成差异化发展，让老旧商业区焕发新活力。</w:t>
      </w:r>
    </w:p>
    <w:p w14:paraId="0F9C12A8">
      <w:pPr>
        <w:spacing w:before="0" w:after="0" w:line="240" w:lineRule="auto"/>
        <w:ind w:firstLine="560"/>
        <w:contextualSpacing/>
        <w:jc w:val="both"/>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康定市跑马山“山城一体”重大项目提升规划方案》提出，为了加快推进康定“景城一体、山城一体”建设，贯彻落实习近平总书记“以人民为中心推动城市建设”发展思想，坚定文化自信，推动民生发展的重大举措。落实甘孜州第十二次党代会精神，主动融入甘孜州战略布局，发挥首位城市作用，彰显康定优秀文化和生态价值，升级城市文化旅游品牌，打造主客共享型文化旅游示范城市的坚定抓手。目前康定市委、市政府依法依规成功收回跑马山景区开发运营权，顺利完成了跑马山“民生资源国营化”体制改革，接下来将举全市之力、聚全市之智把跑马山重塑为康定市的核心地标、城市名片，将全新的“市民公园”呈现在公众面前，按照项目推动进程故编制本规划—康定市跑马山城一体重大项目提升规划方案，本项目属于其中策划项目之一。</w:t>
      </w:r>
    </w:p>
    <w:p w14:paraId="74169101">
      <w:pPr>
        <w:spacing w:before="0" w:after="0"/>
        <w:ind w:firstLine="562"/>
        <w:jc w:val="both"/>
        <w:outlineLvl w:val="1"/>
        <w:rPr>
          <w:rFonts w:ascii="Times New Roman" w:hAnsi="Times New Roman" w:eastAsia="仿宋" w:cs="Times New Roman"/>
          <w:b/>
          <w:bCs/>
          <w:sz w:val="24"/>
          <w:szCs w:val="24"/>
        </w:rPr>
      </w:pPr>
      <w:r>
        <w:rPr>
          <w:rFonts w:ascii="Times New Roman" w:hAnsi="Times New Roman" w:eastAsia="仿宋" w:cs="Times New Roman"/>
          <w:b/>
          <w:bCs/>
          <w:sz w:val="24"/>
          <w:szCs w:val="24"/>
        </w:rPr>
        <w:t>（二）项目基本情况</w:t>
      </w:r>
      <w:bookmarkEnd w:id="0"/>
    </w:p>
    <w:p w14:paraId="1021C409">
      <w:pPr>
        <w:spacing w:before="0" w:after="0"/>
        <w:ind w:firstLine="562"/>
        <w:jc w:val="both"/>
        <w:outlineLvl w:val="2"/>
        <w:rPr>
          <w:rFonts w:hint="eastAsia" w:ascii="仿宋" w:hAnsi="仿宋" w:eastAsia="仿宋" w:cs="仿宋"/>
          <w:b/>
          <w:bCs/>
          <w:sz w:val="24"/>
          <w:szCs w:val="24"/>
        </w:rPr>
      </w:pPr>
      <w:bookmarkStart w:id="7" w:name="_Toc5343"/>
      <w:bookmarkStart w:id="8" w:name="_Toc19525"/>
      <w:bookmarkStart w:id="9" w:name="_Toc31836"/>
      <w:r>
        <w:rPr>
          <w:rFonts w:hint="eastAsia" w:ascii="仿宋" w:hAnsi="仿宋" w:eastAsia="仿宋" w:cs="仿宋"/>
          <w:b/>
          <w:bCs/>
          <w:sz w:val="24"/>
          <w:szCs w:val="24"/>
        </w:rPr>
        <w:t>1、参与主体</w:t>
      </w:r>
      <w:bookmarkEnd w:id="7"/>
      <w:bookmarkEnd w:id="8"/>
      <w:bookmarkEnd w:id="9"/>
    </w:p>
    <w:p w14:paraId="7F6F1A24">
      <w:pPr>
        <w:spacing w:before="0" w:after="0"/>
        <w:ind w:firstLine="560"/>
        <w:jc w:val="both"/>
        <w:rPr>
          <w:rFonts w:hint="eastAsia" w:ascii="仿宋" w:hAnsi="仿宋" w:eastAsia="仿宋" w:cs="仿宋"/>
          <w:sz w:val="24"/>
          <w:szCs w:val="24"/>
          <w:lang w:eastAsia="zh-CN"/>
        </w:rPr>
      </w:pPr>
      <w:r>
        <w:rPr>
          <w:rFonts w:hint="eastAsia" w:ascii="仿宋" w:hAnsi="仿宋" w:eastAsia="仿宋" w:cs="仿宋"/>
          <w:sz w:val="24"/>
          <w:szCs w:val="24"/>
        </w:rPr>
        <w:t>实施机构：</w:t>
      </w:r>
      <w:r>
        <w:rPr>
          <w:rFonts w:hint="eastAsia" w:ascii="仿宋" w:hAnsi="仿宋" w:eastAsia="仿宋" w:cs="仿宋"/>
          <w:sz w:val="24"/>
          <w:szCs w:val="24"/>
          <w:lang w:eastAsia="zh-CN"/>
        </w:rPr>
        <w:t>康定市住房和城乡建设局</w:t>
      </w:r>
    </w:p>
    <w:p w14:paraId="4FB4EEFE">
      <w:pPr>
        <w:spacing w:before="0" w:after="0"/>
        <w:ind w:firstLine="560"/>
        <w:jc w:val="both"/>
        <w:rPr>
          <w:rFonts w:hint="eastAsia" w:ascii="仿宋" w:hAnsi="仿宋" w:eastAsia="仿宋" w:cs="仿宋"/>
          <w:sz w:val="24"/>
          <w:szCs w:val="24"/>
          <w:lang w:eastAsia="zh-CN"/>
        </w:rPr>
      </w:pPr>
      <w:r>
        <w:rPr>
          <w:rFonts w:hint="eastAsia" w:ascii="仿宋" w:hAnsi="仿宋" w:eastAsia="仿宋" w:cs="仿宋"/>
          <w:sz w:val="24"/>
          <w:szCs w:val="24"/>
        </w:rPr>
        <w:t>项目业主：</w:t>
      </w:r>
      <w:r>
        <w:rPr>
          <w:rFonts w:hint="eastAsia" w:ascii="仿宋" w:hAnsi="仿宋" w:eastAsia="仿宋" w:cs="仿宋"/>
          <w:sz w:val="24"/>
          <w:szCs w:val="24"/>
          <w:lang w:eastAsia="zh-CN"/>
        </w:rPr>
        <w:t>康定市兴睿投资管理有限责任公司</w:t>
      </w:r>
    </w:p>
    <w:p w14:paraId="175AA72E">
      <w:pPr>
        <w:spacing w:before="0" w:after="0"/>
        <w:ind w:firstLine="562"/>
        <w:jc w:val="both"/>
        <w:outlineLvl w:val="2"/>
        <w:rPr>
          <w:rFonts w:hint="eastAsia" w:ascii="仿宋" w:hAnsi="仿宋" w:eastAsia="仿宋" w:cs="仿宋"/>
          <w:b/>
          <w:bCs/>
          <w:sz w:val="24"/>
          <w:szCs w:val="24"/>
        </w:rPr>
      </w:pPr>
      <w:bookmarkStart w:id="10" w:name="_Toc28512"/>
      <w:bookmarkStart w:id="11" w:name="_Toc13917"/>
      <w:bookmarkStart w:id="12" w:name="_Toc32738"/>
      <w:r>
        <w:rPr>
          <w:rFonts w:hint="eastAsia" w:ascii="仿宋" w:hAnsi="仿宋" w:eastAsia="仿宋" w:cs="仿宋"/>
          <w:b/>
          <w:bCs/>
          <w:sz w:val="24"/>
          <w:szCs w:val="24"/>
        </w:rPr>
        <w:t>2、项目概况</w:t>
      </w:r>
      <w:bookmarkEnd w:id="10"/>
      <w:bookmarkEnd w:id="11"/>
      <w:bookmarkEnd w:id="12"/>
    </w:p>
    <w:p w14:paraId="2356DF05">
      <w:pPr>
        <w:keepNext w:val="0"/>
        <w:keepLines w:val="0"/>
        <w:pageBreakBefore w:val="0"/>
        <w:widowControl w:val="0"/>
        <w:kinsoku/>
        <w:wordWrap/>
        <w:overflowPunct/>
        <w:topLinePunct w:val="0"/>
        <w:autoSpaceDE/>
        <w:autoSpaceDN/>
        <w:bidi w:val="0"/>
        <w:adjustRightInd/>
        <w:snapToGrid/>
        <w:spacing w:before="0" w:after="0"/>
        <w:ind w:firstLine="480" w:firstLineChars="200"/>
        <w:jc w:val="both"/>
        <w:textAlignment w:val="auto"/>
        <w:outlineLvl w:val="3"/>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val="0"/>
          <w:bCs w:val="0"/>
          <w:sz w:val="24"/>
          <w:szCs w:val="24"/>
        </w:rPr>
        <w:t>（1）项目</w:t>
      </w:r>
      <w:r>
        <w:rPr>
          <w:rFonts w:hint="default" w:ascii="Times New Roman" w:hAnsi="Times New Roman" w:eastAsia="仿宋" w:cs="Times New Roman"/>
          <w:b w:val="0"/>
          <w:bCs w:val="0"/>
          <w:sz w:val="24"/>
          <w:szCs w:val="24"/>
          <w:lang w:val="en-US" w:eastAsia="zh-CN"/>
        </w:rPr>
        <w:t>建设性质</w:t>
      </w:r>
    </w:p>
    <w:p w14:paraId="760DF3C6">
      <w:pPr>
        <w:spacing w:before="0" w:after="0"/>
        <w:ind w:firstLine="562"/>
        <w:jc w:val="both"/>
        <w:outlineLvl w:val="9"/>
        <w:rPr>
          <w:rFonts w:hint="default" w:ascii="Times New Roman" w:hAnsi="Times New Roman" w:eastAsia="仿宋" w:cs="Times New Roman"/>
          <w:sz w:val="24"/>
          <w:szCs w:val="24"/>
        </w:rPr>
      </w:pPr>
      <w:r>
        <w:rPr>
          <w:rFonts w:hint="default" w:ascii="Times New Roman" w:hAnsi="Times New Roman" w:eastAsia="仿宋" w:cs="Times New Roman"/>
          <w:color w:val="auto"/>
          <w:sz w:val="24"/>
          <w:szCs w:val="24"/>
          <w:lang w:val="en-US" w:eastAsia="zh-CN"/>
        </w:rPr>
        <w:t>新</w:t>
      </w:r>
      <w:r>
        <w:rPr>
          <w:rFonts w:hint="default" w:ascii="Times New Roman" w:hAnsi="Times New Roman" w:eastAsia="仿宋" w:cs="Times New Roman"/>
          <w:color w:val="auto"/>
          <w:sz w:val="24"/>
          <w:szCs w:val="24"/>
          <w:lang w:eastAsia="zh-CN"/>
        </w:rPr>
        <w:t>建项目，</w:t>
      </w:r>
      <w:r>
        <w:rPr>
          <w:rFonts w:hint="eastAsia" w:ascii="Times New Roman" w:hAnsi="Times New Roman" w:eastAsia="仿宋" w:cs="Times New Roman"/>
          <w:b w:val="0"/>
          <w:bCs w:val="0"/>
          <w:sz w:val="24"/>
          <w:szCs w:val="24"/>
          <w:lang w:val="en-US" w:eastAsia="zh-CN"/>
        </w:rPr>
        <w:t>保障性安居工程及城市更新-老旧街区改造</w:t>
      </w:r>
      <w:r>
        <w:rPr>
          <w:rFonts w:hint="default" w:ascii="Times New Roman" w:hAnsi="Times New Roman" w:eastAsia="仿宋" w:cs="Times New Roman"/>
          <w:b w:val="0"/>
          <w:bCs w:val="0"/>
          <w:sz w:val="24"/>
          <w:szCs w:val="24"/>
          <w:lang w:val="en-US" w:eastAsia="zh-CN"/>
        </w:rPr>
        <w:t>，</w:t>
      </w:r>
      <w:r>
        <w:rPr>
          <w:rFonts w:hint="default" w:ascii="Times New Roman" w:hAnsi="Times New Roman" w:eastAsia="仿宋" w:cs="Times New Roman"/>
          <w:sz w:val="24"/>
          <w:szCs w:val="24"/>
        </w:rPr>
        <w:t>属于有一定收益的公益性事业领域的项目</w:t>
      </w:r>
    </w:p>
    <w:p w14:paraId="6C4E9BD1">
      <w:pPr>
        <w:spacing w:before="0" w:after="0"/>
        <w:ind w:firstLine="480" w:firstLineChars="200"/>
        <w:jc w:val="both"/>
        <w:outlineLvl w:val="3"/>
        <w:rPr>
          <w:rFonts w:hint="default" w:ascii="Times New Roman" w:hAnsi="Times New Roman" w:eastAsia="仿宋" w:cs="Times New Roman"/>
          <w:b w:val="0"/>
          <w:bCs w:val="0"/>
          <w:sz w:val="24"/>
          <w:szCs w:val="24"/>
          <w:lang w:eastAsia="zh-CN"/>
        </w:rPr>
      </w:pPr>
      <w:r>
        <w:rPr>
          <w:rFonts w:hint="default" w:ascii="Times New Roman" w:hAnsi="Times New Roman" w:eastAsia="仿宋" w:cs="Times New Roman"/>
          <w:b w:val="0"/>
          <w:bCs w:val="0"/>
          <w:sz w:val="24"/>
          <w:szCs w:val="24"/>
          <w:lang w:eastAsia="zh-CN"/>
        </w:rPr>
        <w:t>（</w:t>
      </w:r>
      <w:r>
        <w:rPr>
          <w:rFonts w:hint="default" w:ascii="Times New Roman" w:hAnsi="Times New Roman" w:eastAsia="仿宋" w:cs="Times New Roman"/>
          <w:b w:val="0"/>
          <w:bCs w:val="0"/>
          <w:sz w:val="24"/>
          <w:szCs w:val="24"/>
          <w:lang w:val="en-US" w:eastAsia="zh-CN"/>
        </w:rPr>
        <w:t>2</w:t>
      </w:r>
      <w:r>
        <w:rPr>
          <w:rFonts w:hint="default" w:ascii="Times New Roman" w:hAnsi="Times New Roman" w:eastAsia="仿宋" w:cs="Times New Roman"/>
          <w:b w:val="0"/>
          <w:bCs w:val="0"/>
          <w:sz w:val="24"/>
          <w:szCs w:val="24"/>
          <w:lang w:eastAsia="zh-CN"/>
        </w:rPr>
        <w:t>）</w:t>
      </w:r>
      <w:r>
        <w:rPr>
          <w:rFonts w:hint="default" w:ascii="Times New Roman" w:hAnsi="Times New Roman" w:eastAsia="仿宋" w:cs="Times New Roman"/>
          <w:b w:val="0"/>
          <w:bCs w:val="0"/>
          <w:color w:val="auto"/>
          <w:sz w:val="24"/>
          <w:szCs w:val="24"/>
          <w:lang w:val="en-US" w:eastAsia="zh-CN"/>
        </w:rPr>
        <w:t>建设内容</w:t>
      </w:r>
    </w:p>
    <w:p w14:paraId="4464CB1B">
      <w:pPr>
        <w:spacing w:before="0" w:after="0"/>
        <w:ind w:firstLine="560"/>
        <w:jc w:val="both"/>
        <w:rPr>
          <w:rFonts w:hint="eastAsia" w:ascii="Times New Roman" w:hAnsi="Times New Roman" w:eastAsia="仿宋" w:cs="Times New Roman"/>
          <w:color w:val="auto"/>
          <w:sz w:val="24"/>
          <w:szCs w:val="24"/>
          <w:lang w:val="en-US" w:eastAsia="zh-CN"/>
        </w:rPr>
      </w:pPr>
      <w:r>
        <w:rPr>
          <w:rFonts w:hint="eastAsia" w:ascii="Times New Roman" w:hAnsi="Times New Roman" w:eastAsia="仿宋" w:cs="Times New Roman"/>
          <w:color w:val="auto"/>
          <w:sz w:val="24"/>
          <w:szCs w:val="24"/>
          <w:lang w:val="en-US" w:eastAsia="zh-CN"/>
        </w:rPr>
        <w:t>道路改造长度0.81千米；雨水管网改造长度0.81千米，污水管网改造1.63千米，东大街及新市后街建筑外立面改造3.74万平方米，室内展陈0.54万平方米配套建设安装标识标牌，城市家具等配套附属设施。</w:t>
      </w:r>
    </w:p>
    <w:p w14:paraId="23C89BC7">
      <w:pPr>
        <w:ind w:left="0" w:leftChars="0" w:firstLine="0" w:firstLineChars="0"/>
        <w:outlineLvl w:val="0"/>
        <w:rPr>
          <w:rFonts w:hint="eastAsia" w:ascii="仿宋" w:hAnsi="仿宋" w:eastAsia="仿宋" w:cs="仿宋"/>
          <w:b/>
          <w:bCs/>
          <w:sz w:val="24"/>
          <w:szCs w:val="24"/>
        </w:rPr>
      </w:pPr>
      <w:bookmarkStart w:id="13" w:name="_Toc22214"/>
      <w:bookmarkStart w:id="14" w:name="_Toc4700"/>
      <w:bookmarkStart w:id="15" w:name="_Toc7196"/>
      <w:r>
        <w:rPr>
          <w:rFonts w:hint="eastAsia" w:ascii="仿宋" w:hAnsi="仿宋" w:eastAsia="仿宋" w:cs="仿宋"/>
          <w:b/>
          <w:bCs/>
          <w:sz w:val="24"/>
          <w:szCs w:val="24"/>
        </w:rPr>
        <w:t>二、经济社会效益分析</w:t>
      </w:r>
      <w:bookmarkEnd w:id="13"/>
      <w:bookmarkEnd w:id="14"/>
      <w:bookmarkEnd w:id="15"/>
    </w:p>
    <w:p w14:paraId="04D8FFB0">
      <w:pPr>
        <w:spacing w:before="0" w:after="0"/>
        <w:ind w:firstLine="562"/>
        <w:jc w:val="both"/>
        <w:outlineLvl w:val="1"/>
        <w:rPr>
          <w:rFonts w:hint="eastAsia" w:ascii="仿宋" w:hAnsi="仿宋" w:eastAsia="仿宋" w:cs="仿宋"/>
          <w:b/>
          <w:bCs/>
          <w:sz w:val="24"/>
          <w:szCs w:val="24"/>
        </w:rPr>
      </w:pPr>
      <w:bookmarkStart w:id="16" w:name="_Toc30859"/>
      <w:bookmarkStart w:id="17" w:name="_Toc7086"/>
      <w:bookmarkStart w:id="18" w:name="_Toc23688"/>
      <w:r>
        <w:rPr>
          <w:rFonts w:hint="eastAsia" w:ascii="仿宋" w:hAnsi="仿宋" w:eastAsia="仿宋" w:cs="仿宋"/>
          <w:b/>
          <w:bCs/>
          <w:sz w:val="24"/>
          <w:szCs w:val="24"/>
        </w:rPr>
        <w:t>（一）社会效益分析</w:t>
      </w:r>
      <w:bookmarkEnd w:id="16"/>
      <w:bookmarkEnd w:id="17"/>
      <w:bookmarkEnd w:id="18"/>
      <w:bookmarkStart w:id="19" w:name="_Toc15895"/>
    </w:p>
    <w:bookmarkEnd w:id="19"/>
    <w:p w14:paraId="54E24B8D">
      <w:pPr>
        <w:spacing w:before="0" w:after="0"/>
        <w:ind w:firstLine="562"/>
        <w:jc w:val="both"/>
        <w:rPr>
          <w:rFonts w:ascii="Times New Roman" w:hAnsi="Times New Roman" w:eastAsia="仿宋" w:cs="Times New Roman"/>
          <w:b/>
          <w:bCs/>
          <w:sz w:val="24"/>
          <w:szCs w:val="24"/>
        </w:rPr>
      </w:pPr>
      <w:bookmarkStart w:id="20" w:name="_Toc23799"/>
      <w:bookmarkStart w:id="21" w:name="_Toc15560"/>
      <w:bookmarkStart w:id="22" w:name="_Toc28395"/>
      <w:r>
        <w:rPr>
          <w:rFonts w:ascii="Times New Roman" w:hAnsi="Times New Roman" w:eastAsia="仿宋" w:cs="Times New Roman"/>
          <w:b/>
          <w:bCs/>
          <w:sz w:val="24"/>
          <w:szCs w:val="24"/>
        </w:rPr>
        <w:t>1</w:t>
      </w:r>
      <w:r>
        <w:rPr>
          <w:rFonts w:hint="eastAsia" w:ascii="Times New Roman" w:hAnsi="Times New Roman" w:eastAsia="仿宋" w:cs="Times New Roman"/>
          <w:b/>
          <w:bCs/>
          <w:sz w:val="24"/>
          <w:szCs w:val="24"/>
        </w:rPr>
        <w:t>、项目建设有利于改善居民生活条件</w:t>
      </w:r>
    </w:p>
    <w:p w14:paraId="63FE36D1">
      <w:pPr>
        <w:spacing w:before="0" w:after="0"/>
        <w:ind w:firstLine="560"/>
        <w:jc w:val="both"/>
        <w:rPr>
          <w:rFonts w:ascii="Times New Roman" w:hAnsi="Times New Roman" w:eastAsia="仿宋" w:cs="Times New Roman"/>
          <w:sz w:val="24"/>
          <w:szCs w:val="24"/>
        </w:rPr>
      </w:pPr>
      <w:r>
        <w:rPr>
          <w:rFonts w:hint="eastAsia" w:ascii="Times New Roman" w:hAnsi="Times New Roman" w:eastAsia="仿宋" w:cs="Times New Roman"/>
          <w:sz w:val="24"/>
          <w:szCs w:val="24"/>
        </w:rPr>
        <w:t>老旧街区往往存在基础设施老化失修的问题，如道路破损、水电管网陈旧、排水不畅等。改造项目对这些基础设施进行全面更新和升级，能有效提升居民日常生活的便利性和安全性。道路拓宽与交通标线优化将缓解拥堵，提升居民通勤效率；新增停车位规范车辆停放，减少占道乱象；雨污分流管网改造可改善水体污染问题；同时，老旧街区普遍缺乏公共服务设施，如休闲广场、健身器材、社区医疗站等。改造过程中，增设这些设施，能极大地丰富居民的精神文化生活，满足居民的多样化需求，显著提升居民的生活品质和幸福感</w:t>
      </w:r>
      <w:r>
        <w:rPr>
          <w:rFonts w:ascii="Times New Roman" w:hAnsi="Times New Roman" w:eastAsia="仿宋" w:cs="Times New Roman"/>
          <w:sz w:val="24"/>
          <w:szCs w:val="24"/>
        </w:rPr>
        <w:t>。</w:t>
      </w:r>
    </w:p>
    <w:p w14:paraId="3E38063D">
      <w:pPr>
        <w:spacing w:before="0" w:after="0"/>
        <w:ind w:firstLine="562"/>
        <w:jc w:val="both"/>
        <w:rPr>
          <w:rFonts w:ascii="Times New Roman" w:hAnsi="Times New Roman" w:eastAsia="仿宋" w:cs="Times New Roman"/>
          <w:b/>
          <w:bCs/>
          <w:sz w:val="24"/>
          <w:szCs w:val="24"/>
        </w:rPr>
      </w:pPr>
      <w:r>
        <w:rPr>
          <w:rFonts w:ascii="Times New Roman" w:hAnsi="Times New Roman" w:eastAsia="仿宋" w:cs="Times New Roman"/>
          <w:b/>
          <w:bCs/>
          <w:sz w:val="24"/>
          <w:szCs w:val="24"/>
        </w:rPr>
        <w:t>2</w:t>
      </w:r>
      <w:r>
        <w:rPr>
          <w:rFonts w:hint="eastAsia" w:ascii="Times New Roman" w:hAnsi="Times New Roman" w:eastAsia="仿宋" w:cs="Times New Roman"/>
          <w:b/>
          <w:bCs/>
          <w:sz w:val="24"/>
          <w:szCs w:val="24"/>
        </w:rPr>
        <w:t>、项目建设有利于推动城市可持续发展</w:t>
      </w:r>
    </w:p>
    <w:p w14:paraId="3615EF8D">
      <w:pPr>
        <w:spacing w:before="0" w:after="0"/>
        <w:ind w:firstLine="560"/>
        <w:jc w:val="both"/>
        <w:rPr>
          <w:rFonts w:ascii="Times New Roman" w:hAnsi="Times New Roman" w:eastAsia="仿宋" w:cs="Times New Roman"/>
          <w:sz w:val="24"/>
          <w:szCs w:val="24"/>
        </w:rPr>
      </w:pPr>
      <w:r>
        <w:rPr>
          <w:rFonts w:hint="eastAsia" w:ascii="Times New Roman" w:hAnsi="Times New Roman" w:eastAsia="仿宋" w:cs="Times New Roman"/>
          <w:sz w:val="24"/>
          <w:szCs w:val="24"/>
        </w:rPr>
        <w:t>项目采用系统性改造模式（道路、管网、街区一体化），为老旧城区更新提供可复制的经验，推动城市治理现代化。通过对老旧街区的改造，能够优化城市空间布局，提高土地利用效率。比如，拆除违章建筑和不合理的建筑，重新规划功能分区，使商业、居住、休闲等空间更加合理，提升城市空间的整体利用价值。同时，在改造中融入绿色环保理念，增加绿化面积，推广节能设施，能够改善城市生态环境，降低能源消耗，促进城市的可持续发展。改造后的街区与周边区域更好地衔接和融合，提升城市的整体形象和品质，增强城市的吸引力和竞争力</w:t>
      </w:r>
      <w:r>
        <w:rPr>
          <w:rFonts w:ascii="Times New Roman" w:hAnsi="Times New Roman" w:eastAsia="仿宋" w:cs="Times New Roman"/>
          <w:sz w:val="24"/>
          <w:szCs w:val="24"/>
        </w:rPr>
        <w:t>。</w:t>
      </w:r>
    </w:p>
    <w:p w14:paraId="66C54710">
      <w:pPr>
        <w:spacing w:before="0" w:after="0"/>
        <w:ind w:firstLine="562"/>
        <w:jc w:val="both"/>
        <w:rPr>
          <w:rFonts w:ascii="Times New Roman" w:hAnsi="Times New Roman" w:eastAsia="仿宋" w:cs="Times New Roman"/>
          <w:b/>
          <w:bCs/>
          <w:sz w:val="24"/>
          <w:szCs w:val="24"/>
        </w:rPr>
      </w:pPr>
      <w:r>
        <w:rPr>
          <w:rFonts w:hint="eastAsia" w:ascii="Times New Roman" w:hAnsi="Times New Roman" w:eastAsia="仿宋" w:cs="Times New Roman"/>
          <w:b/>
          <w:bCs/>
          <w:sz w:val="24"/>
          <w:szCs w:val="24"/>
          <w:lang w:val="en-US" w:eastAsia="zh-CN"/>
        </w:rPr>
        <w:t>3</w:t>
      </w:r>
      <w:r>
        <w:rPr>
          <w:rFonts w:hint="eastAsia" w:ascii="Times New Roman" w:hAnsi="Times New Roman" w:eastAsia="仿宋" w:cs="Times New Roman"/>
          <w:b/>
          <w:bCs/>
          <w:sz w:val="24"/>
          <w:szCs w:val="24"/>
        </w:rPr>
        <w:t>、项目建设有利于传承和弘扬历史文化</w:t>
      </w:r>
    </w:p>
    <w:p w14:paraId="46B7AE16">
      <w:pPr>
        <w:spacing w:before="0" w:after="0"/>
        <w:ind w:firstLine="560"/>
        <w:jc w:val="both"/>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许多老旧街区承载着城市的历史记忆和文化底蕴，是城市历史文化的重要载体。改造项目在注重功能提升的同时，对具有历史价值的建筑和街区进行保护和修缮，保留城市的历史风貌和文化特色。深入挖掘和展示地方特色文化，通过打造文化街区、历史博物馆等形式，传承和弘扬城市的历史文化，增强居民的文化认同感和自豪感，让城市在现代化进程中依然保持独特的文化魅力</w:t>
      </w:r>
      <w:r>
        <w:rPr>
          <w:rFonts w:hint="eastAsia" w:ascii="Times New Roman" w:hAnsi="Times New Roman" w:eastAsia="仿宋" w:cs="Times New Roman"/>
          <w:sz w:val="24"/>
          <w:szCs w:val="24"/>
          <w:lang w:eastAsia="zh-CN"/>
        </w:rPr>
        <w:t>。</w:t>
      </w:r>
    </w:p>
    <w:p w14:paraId="0CAD6FF1">
      <w:pPr>
        <w:spacing w:before="0" w:after="0"/>
        <w:ind w:firstLine="241" w:firstLineChars="100"/>
        <w:jc w:val="both"/>
        <w:outlineLvl w:val="1"/>
        <w:rPr>
          <w:rFonts w:hint="eastAsia" w:ascii="仿宋" w:hAnsi="仿宋" w:eastAsia="仿宋" w:cs="仿宋"/>
          <w:sz w:val="24"/>
          <w:szCs w:val="24"/>
          <w:highlight w:val="none"/>
          <w:lang w:val="en-US" w:eastAsia="zh-CN"/>
        </w:rPr>
      </w:pPr>
      <w:r>
        <w:rPr>
          <w:rFonts w:hint="eastAsia" w:ascii="仿宋" w:hAnsi="仿宋" w:eastAsia="仿宋" w:cs="仿宋"/>
          <w:b/>
          <w:bCs/>
          <w:sz w:val="24"/>
          <w:szCs w:val="24"/>
        </w:rPr>
        <w:t>（二）经济效益分析</w:t>
      </w:r>
      <w:bookmarkEnd w:id="20"/>
      <w:bookmarkEnd w:id="21"/>
      <w:bookmarkEnd w:id="22"/>
    </w:p>
    <w:p w14:paraId="32C73163">
      <w:pPr>
        <w:spacing w:before="0" w:after="0"/>
        <w:ind w:firstLine="562"/>
        <w:jc w:val="both"/>
        <w:rPr>
          <w:rFonts w:ascii="Times New Roman" w:hAnsi="Times New Roman" w:eastAsia="仿宋" w:cs="Times New Roman"/>
          <w:b/>
          <w:bCs/>
          <w:sz w:val="24"/>
          <w:szCs w:val="24"/>
        </w:rPr>
      </w:pPr>
      <w:bookmarkStart w:id="23" w:name="_Toc17472"/>
      <w:r>
        <w:rPr>
          <w:rFonts w:hint="eastAsia" w:ascii="Times New Roman" w:hAnsi="Times New Roman" w:eastAsia="仿宋" w:cs="Times New Roman"/>
          <w:b/>
          <w:bCs/>
          <w:sz w:val="24"/>
          <w:szCs w:val="24"/>
          <w:lang w:val="en-US" w:eastAsia="zh-CN"/>
        </w:rPr>
        <w:t>1</w:t>
      </w:r>
      <w:r>
        <w:rPr>
          <w:rFonts w:hint="eastAsia" w:ascii="Times New Roman" w:hAnsi="Times New Roman" w:eastAsia="仿宋" w:cs="Times New Roman"/>
          <w:b/>
          <w:bCs/>
          <w:sz w:val="24"/>
          <w:szCs w:val="24"/>
        </w:rPr>
        <w:t>、项目建设有利于带动相关产业发展</w:t>
      </w:r>
    </w:p>
    <w:p w14:paraId="35130AC9">
      <w:pPr>
        <w:spacing w:before="0" w:after="0"/>
        <w:ind w:firstLine="562"/>
        <w:jc w:val="both"/>
        <w:rPr>
          <w:rFonts w:ascii="Times New Roman" w:hAnsi="Times New Roman" w:eastAsia="仿宋" w:cs="Times New Roman"/>
          <w:sz w:val="24"/>
          <w:szCs w:val="24"/>
        </w:rPr>
      </w:pPr>
      <w:r>
        <w:rPr>
          <w:rFonts w:hint="eastAsia" w:ascii="Times New Roman" w:hAnsi="Times New Roman" w:eastAsia="仿宋" w:cs="Times New Roman"/>
          <w:sz w:val="24"/>
          <w:szCs w:val="24"/>
        </w:rPr>
        <w:t>老旧街区改造涉及众多领域，能够直接拉动建筑、装修、建材等行业的需求。从房屋的修缮加固、基础设施的更新换代，到景观绿化、公共设施的建设，都需要大量的建筑材料和专业的施工服务。这为建筑企业、装修公司以及建材供应商等带来了业务增长机会，促进了相关产业的繁荣，带动上下游产业链的协同发展，进而推动区域经济增长</w:t>
      </w:r>
      <w:r>
        <w:rPr>
          <w:rFonts w:ascii="Times New Roman" w:hAnsi="Times New Roman" w:eastAsia="仿宋" w:cs="Times New Roman"/>
          <w:sz w:val="24"/>
          <w:szCs w:val="24"/>
        </w:rPr>
        <w:t>。</w:t>
      </w:r>
    </w:p>
    <w:p w14:paraId="415998D2">
      <w:pPr>
        <w:spacing w:before="0" w:after="0"/>
        <w:ind w:firstLine="562"/>
        <w:jc w:val="both"/>
        <w:rPr>
          <w:rFonts w:ascii="Times New Roman" w:hAnsi="Times New Roman" w:eastAsia="仿宋" w:cs="Times New Roman"/>
          <w:b/>
          <w:bCs/>
          <w:sz w:val="24"/>
          <w:szCs w:val="24"/>
        </w:rPr>
      </w:pPr>
      <w:r>
        <w:rPr>
          <w:rFonts w:hint="eastAsia" w:ascii="Times New Roman" w:hAnsi="Times New Roman" w:eastAsia="仿宋" w:cs="Times New Roman"/>
          <w:b/>
          <w:bCs/>
          <w:sz w:val="24"/>
          <w:szCs w:val="24"/>
          <w:lang w:val="en-US" w:eastAsia="zh-CN"/>
        </w:rPr>
        <w:t>2</w:t>
      </w:r>
      <w:r>
        <w:rPr>
          <w:rFonts w:hint="eastAsia" w:ascii="Times New Roman" w:hAnsi="Times New Roman" w:eastAsia="仿宋" w:cs="Times New Roman"/>
          <w:b/>
          <w:bCs/>
          <w:sz w:val="24"/>
          <w:szCs w:val="24"/>
        </w:rPr>
        <w:t>、项目建设有利于创造就业机会</w:t>
      </w:r>
    </w:p>
    <w:p w14:paraId="6ED35C57">
      <w:pPr>
        <w:spacing w:before="0" w:after="0"/>
        <w:ind w:firstLine="560"/>
        <w:jc w:val="both"/>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在老旧街区改造项目的实施过程中，从前期的规划设计、施工建设，到后期的运营管理，都需要大量的劳动力。这为当地居民提供了丰富的就业岗位，包括建筑工人、技术人员、管理人员以及商业服务人员等。就业机会的增加，提高了居民的收入水平，增强了居民的消费能力，进而刺激了区域内的消费市场，形成经济发展的良性循环。</w:t>
      </w:r>
      <w:bookmarkEnd w:id="23"/>
    </w:p>
    <w:p w14:paraId="4C40EE9E">
      <w:pPr>
        <w:spacing w:before="0" w:after="0"/>
        <w:ind w:firstLine="562"/>
        <w:jc w:val="both"/>
        <w:rPr>
          <w:rFonts w:hint="default"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3</w:t>
      </w:r>
      <w:r>
        <w:rPr>
          <w:rFonts w:hint="default" w:ascii="Times New Roman" w:hAnsi="Times New Roman" w:eastAsia="仿宋" w:cs="Times New Roman"/>
          <w:b/>
          <w:bCs/>
          <w:sz w:val="24"/>
          <w:szCs w:val="24"/>
          <w:lang w:val="en-US" w:eastAsia="zh-CN"/>
        </w:rPr>
        <w:t>、项目建设有利于吸引投资与旅游</w:t>
      </w:r>
    </w:p>
    <w:p w14:paraId="59D8CCBB">
      <w:pPr>
        <w:spacing w:before="0" w:after="0"/>
        <w:ind w:firstLine="56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改造后的老旧街区，整体形象和品质大幅提升，成为城市的新亮点，能够吸引更多的投资和游客。对于投资者来说，基础设施升级将显著提升周边土地及房产价值，吸引开发商投资，形成良性经济循环，推动产业升级和创新发展。对于游客来说，具有特色的街区改造项目，如历史文化街区的保护与开发，成为了新的旅游景点，吸引游客前来观光游览、消费，带动了当地旅游业及相关产业的发展，增加了旅游收入，促进了区域经济的多元化发展。</w:t>
      </w:r>
    </w:p>
    <w:p w14:paraId="39A4CBD9">
      <w:pPr>
        <w:adjustRightInd w:val="0"/>
        <w:snapToGrid w:val="0"/>
        <w:spacing w:before="0" w:after="0"/>
        <w:jc w:val="both"/>
        <w:outlineLvl w:val="0"/>
        <w:rPr>
          <w:rFonts w:hint="eastAsia" w:ascii="仿宋" w:hAnsi="仿宋" w:eastAsia="仿宋" w:cs="仿宋"/>
          <w:sz w:val="24"/>
          <w:szCs w:val="24"/>
        </w:rPr>
      </w:pPr>
      <w:bookmarkStart w:id="24" w:name="_Toc11935"/>
      <w:r>
        <w:rPr>
          <w:rFonts w:hint="eastAsia" w:ascii="仿宋" w:hAnsi="仿宋" w:eastAsia="仿宋" w:cs="仿宋"/>
          <w:b/>
          <w:bCs/>
          <w:sz w:val="24"/>
          <w:szCs w:val="24"/>
        </w:rPr>
        <w:t>三、项目投资估算与资金筹措方案</w:t>
      </w:r>
      <w:bookmarkEnd w:id="24"/>
    </w:p>
    <w:p w14:paraId="76AEB23D">
      <w:pPr>
        <w:keepNext w:val="0"/>
        <w:keepLines w:val="0"/>
        <w:pageBreakBefore w:val="0"/>
        <w:widowControl w:val="0"/>
        <w:kinsoku/>
        <w:wordWrap/>
        <w:overflowPunct/>
        <w:topLinePunct w:val="0"/>
        <w:autoSpaceDE/>
        <w:autoSpaceDN/>
        <w:bidi w:val="0"/>
        <w:adjustRightInd w:val="0"/>
        <w:snapToGrid w:val="0"/>
        <w:spacing w:before="166" w:after="166"/>
        <w:ind w:firstLine="482" w:firstLineChars="200"/>
        <w:jc w:val="both"/>
        <w:textAlignment w:val="auto"/>
        <w:outlineLvl w:val="1"/>
        <w:rPr>
          <w:rFonts w:hint="eastAsia" w:ascii="仿宋" w:hAnsi="仿宋" w:eastAsia="仿宋" w:cs="仿宋"/>
          <w:sz w:val="24"/>
          <w:szCs w:val="24"/>
        </w:rPr>
      </w:pPr>
      <w:bookmarkStart w:id="25" w:name="_Toc22946"/>
      <w:bookmarkStart w:id="26" w:name="_Toc19607"/>
      <w:bookmarkStart w:id="27" w:name="_Toc8546"/>
      <w:r>
        <w:rPr>
          <w:rFonts w:hint="eastAsia" w:ascii="仿宋" w:hAnsi="仿宋" w:eastAsia="仿宋" w:cs="仿宋"/>
          <w:b/>
          <w:bCs/>
          <w:sz w:val="24"/>
          <w:szCs w:val="24"/>
        </w:rPr>
        <w:t>（一）投资估算</w:t>
      </w:r>
      <w:bookmarkEnd w:id="25"/>
      <w:bookmarkEnd w:id="26"/>
      <w:bookmarkEnd w:id="27"/>
    </w:p>
    <w:p w14:paraId="7FB1B4C7">
      <w:pPr>
        <w:spacing w:before="0" w:after="0"/>
        <w:ind w:firstLine="560"/>
        <w:jc w:val="both"/>
        <w:rPr>
          <w:rFonts w:hint="default" w:ascii="Times New Roman" w:hAnsi="Times New Roman" w:eastAsia="仿宋" w:cs="Times New Roman"/>
          <w:sz w:val="24"/>
          <w:szCs w:val="24"/>
        </w:rPr>
      </w:pPr>
      <w:r>
        <w:rPr>
          <w:rFonts w:hint="eastAsia" w:ascii="Times New Roman" w:hAnsi="Times New Roman" w:eastAsia="仿宋" w:cs="Times New Roman"/>
          <w:sz w:val="24"/>
          <w:szCs w:val="24"/>
          <w:highlight w:val="none"/>
        </w:rPr>
        <w:t>项目投资9459.18万元，工程费7486.81万元，工程建设其他费用1146.77万元，预备费573.60万元，建设期利息245.00万元，债券发行费用7万元。</w:t>
      </w:r>
    </w:p>
    <w:p w14:paraId="720147A3">
      <w:pPr>
        <w:pStyle w:val="3"/>
        <w:bidi w:val="0"/>
        <w:ind w:firstLine="482" w:firstLineChars="200"/>
        <w:rPr>
          <w:rFonts w:hint="eastAsia" w:ascii="仿宋" w:hAnsi="仿宋" w:eastAsia="仿宋" w:cs="仿宋"/>
          <w:sz w:val="24"/>
          <w:szCs w:val="24"/>
        </w:rPr>
      </w:pPr>
      <w:bookmarkStart w:id="28" w:name="_Toc3818_WPSOffice_Level2"/>
      <w:r>
        <w:rPr>
          <w:rFonts w:hint="eastAsia" w:ascii="仿宋" w:hAnsi="仿宋" w:eastAsia="仿宋" w:cs="仿宋"/>
          <w:sz w:val="24"/>
          <w:szCs w:val="24"/>
        </w:rPr>
        <w:t>（</w:t>
      </w:r>
      <w:r>
        <w:rPr>
          <w:rFonts w:hint="eastAsia" w:ascii="仿宋" w:hAnsi="仿宋" w:eastAsia="仿宋" w:cs="仿宋"/>
          <w:sz w:val="24"/>
          <w:szCs w:val="24"/>
          <w:lang w:val="en-US" w:eastAsia="zh-CN"/>
        </w:rPr>
        <w:t>二</w:t>
      </w:r>
      <w:r>
        <w:rPr>
          <w:rFonts w:hint="eastAsia" w:ascii="仿宋" w:hAnsi="仿宋" w:eastAsia="仿宋" w:cs="仿宋"/>
          <w:sz w:val="24"/>
          <w:szCs w:val="24"/>
        </w:rPr>
        <w:t>）资金筹措方案</w:t>
      </w:r>
      <w:bookmarkEnd w:id="28"/>
      <w:r>
        <w:rPr>
          <w:rFonts w:hint="eastAsia" w:ascii="仿宋" w:hAnsi="仿宋" w:eastAsia="仿宋" w:cs="仿宋"/>
          <w:sz w:val="24"/>
          <w:szCs w:val="24"/>
        </w:rPr>
        <w:t xml:space="preserve"> </w:t>
      </w:r>
    </w:p>
    <w:p w14:paraId="618D4E43">
      <w:pPr>
        <w:pStyle w:val="6"/>
        <w:keepNext w:val="0"/>
        <w:keepLines w:val="0"/>
        <w:pageBreakBefore w:val="0"/>
        <w:widowControl w:val="0"/>
        <w:kinsoku/>
        <w:wordWrap/>
        <w:overflowPunct/>
        <w:topLinePunct w:val="0"/>
        <w:autoSpaceDE/>
        <w:autoSpaceDN/>
        <w:bidi w:val="0"/>
        <w:adjustRightInd w:val="0"/>
        <w:snapToGrid w:val="0"/>
        <w:spacing w:before="0" w:beforeAutospacing="0" w:after="0" w:line="240" w:lineRule="auto"/>
        <w:ind w:firstLine="480" w:firstLineChars="200"/>
        <w:textAlignment w:val="auto"/>
        <w:rPr>
          <w:rFonts w:hint="default"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本项目总投资9459.18万元，资金来源于专项债券资金和财政性资金。其中，项目资本金2459.18万元，占总投资的26%，由康定市财政统筹安排；专项债券资金总需求为7000.00万元，占项目总投资的74%，2025年拟申请发行7000.00万元，发行期限为20年期，债券利率3.5%</w:t>
      </w:r>
      <w:r>
        <w:rPr>
          <w:rFonts w:hint="default" w:ascii="Times New Roman" w:hAnsi="Times New Roman" w:eastAsia="仿宋" w:cs="Times New Roman"/>
          <w:kern w:val="2"/>
          <w:sz w:val="24"/>
          <w:szCs w:val="24"/>
          <w:lang w:val="en-US" w:eastAsia="zh-CN" w:bidi="ar-SA"/>
        </w:rPr>
        <w:t>。</w:t>
      </w:r>
    </w:p>
    <w:p w14:paraId="642CFFCA">
      <w:pPr>
        <w:numPr>
          <w:ilvl w:val="0"/>
          <w:numId w:val="2"/>
        </w:numPr>
        <w:ind w:firstLine="482" w:firstLineChars="200"/>
        <w:jc w:val="left"/>
        <w:rPr>
          <w:rFonts w:hint="default" w:ascii="Times New Roman" w:eastAsia="仿宋"/>
          <w:b/>
          <w:bCs/>
          <w:sz w:val="24"/>
          <w:szCs w:val="24"/>
          <w:lang w:val="en-US" w:eastAsia="zh-CN"/>
        </w:rPr>
      </w:pPr>
      <w:r>
        <w:rPr>
          <w:rFonts w:hint="default" w:ascii="Times New Roman" w:eastAsia="仿宋"/>
          <w:b/>
          <w:bCs/>
          <w:sz w:val="24"/>
          <w:szCs w:val="24"/>
          <w:lang w:val="en-US" w:eastAsia="zh-CN"/>
        </w:rPr>
        <w:t>资金使用计划</w:t>
      </w:r>
    </w:p>
    <w:p w14:paraId="4D70296A">
      <w:pPr>
        <w:spacing w:before="0" w:after="0"/>
        <w:ind w:firstLine="560"/>
        <w:jc w:val="both"/>
        <w:rPr>
          <w:rFonts w:hint="eastAsia" w:ascii="仿宋" w:hAnsi="仿宋" w:eastAsia="仿宋" w:cs="仿宋"/>
          <w:b/>
          <w:bCs/>
          <w:sz w:val="24"/>
          <w:szCs w:val="24"/>
        </w:rPr>
      </w:pPr>
      <w:r>
        <w:rPr>
          <w:rFonts w:hint="eastAsia" w:ascii="Times New Roman" w:hAnsi="Times New Roman" w:eastAsia="仿宋" w:cs="Times New Roman"/>
          <w:sz w:val="24"/>
          <w:szCs w:val="24"/>
        </w:rPr>
        <w:t>项目所筹资金将根据项目实施计划和实时建设进度来进行合理分配，且将全部投资于本项目，具体数额应当根据进度支出。在保证项目工程投资资金充足的情况下，充分利用且不浪费当年度专项债券融资额度。按照建设进度，项目投资计划为6个月投入，具体的资金使用计划详见下表</w:t>
      </w:r>
      <w:r>
        <w:rPr>
          <w:rFonts w:ascii="Times New Roman" w:hAnsi="Times New Roman" w:eastAsia="仿宋" w:cs="Times New Roman"/>
          <w:sz w:val="24"/>
          <w:szCs w:val="24"/>
        </w:rPr>
        <w:t>：</w:t>
      </w:r>
      <w:bookmarkStart w:id="29" w:name="_Toc4055"/>
    </w:p>
    <w:p w14:paraId="3C39629D">
      <w:pPr>
        <w:keepNext w:val="0"/>
        <w:keepLines w:val="0"/>
        <w:pageBreakBefore w:val="0"/>
        <w:widowControl w:val="0"/>
        <w:kinsoku/>
        <w:wordWrap/>
        <w:overflowPunct/>
        <w:topLinePunct w:val="0"/>
        <w:autoSpaceDE/>
        <w:autoSpaceDN/>
        <w:bidi w:val="0"/>
        <w:adjustRightInd/>
        <w:snapToGrid/>
        <w:spacing w:before="166"/>
        <w:ind w:firstLine="0" w:firstLineChars="0"/>
        <w:jc w:val="center"/>
        <w:textAlignment w:val="auto"/>
        <w:rPr>
          <w:rFonts w:ascii="仿宋" w:hAnsi="仿宋" w:eastAsia="仿宋" w:cs="仿宋"/>
          <w:b/>
          <w:bCs/>
        </w:rPr>
      </w:pPr>
      <w:r>
        <w:rPr>
          <w:rFonts w:hint="eastAsia" w:ascii="仿宋" w:hAnsi="仿宋" w:eastAsia="仿宋" w:cs="仿宋"/>
          <w:b/>
          <w:bCs/>
        </w:rPr>
        <w:t>项目资金使用计划表</w:t>
      </w:r>
      <w:bookmarkEnd w:id="29"/>
    </w:p>
    <w:p w14:paraId="1D692001">
      <w:pPr>
        <w:pStyle w:val="11"/>
        <w:spacing w:before="0" w:beforeAutospacing="0" w:after="0" w:line="240" w:lineRule="auto"/>
        <w:ind w:firstLine="0" w:firstLineChars="0"/>
        <w:jc w:val="right"/>
        <w:outlineLvl w:val="9"/>
        <w:rPr>
          <w:rFonts w:eastAsia="仿宋" w:cs="Times New Roman"/>
          <w:b/>
          <w:bCs/>
          <w:sz w:val="18"/>
          <w:szCs w:val="18"/>
        </w:rPr>
      </w:pPr>
      <w:bookmarkStart w:id="30" w:name="_Toc5341"/>
      <w:bookmarkStart w:id="31" w:name="_Toc24055"/>
      <w:bookmarkStart w:id="32" w:name="_Toc27516"/>
      <w:r>
        <w:rPr>
          <w:rFonts w:hint="eastAsia" w:eastAsia="仿宋" w:cs="Times New Roman"/>
          <w:b/>
          <w:bCs/>
          <w:sz w:val="18"/>
          <w:szCs w:val="18"/>
        </w:rPr>
        <w:t>单位：万元</w:t>
      </w:r>
      <w:bookmarkEnd w:id="30"/>
      <w:bookmarkEnd w:id="31"/>
      <w:bookmarkEnd w:id="32"/>
    </w:p>
    <w:tbl>
      <w:tblPr>
        <w:tblStyle w:val="12"/>
        <w:tblW w:w="4998"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170"/>
        <w:gridCol w:w="3277"/>
        <w:gridCol w:w="2321"/>
        <w:gridCol w:w="1745"/>
      </w:tblGrid>
      <w:tr w14:paraId="1025E6F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vMerge w:val="restart"/>
            <w:shd w:val="clear" w:color="auto" w:fill="BEBEBE" w:themeFill="background1" w:themeFillShade="BF"/>
            <w:vAlign w:val="center"/>
          </w:tcPr>
          <w:p w14:paraId="03ECB5B9">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rPr>
            </w:pPr>
            <w:r>
              <w:rPr>
                <w:rFonts w:ascii="Times New Roman" w:hAnsi="Times New Roman" w:eastAsia="仿宋" w:cs="Times New Roman"/>
                <w:b/>
                <w:bCs/>
                <w:color w:val="000000"/>
                <w:sz w:val="18"/>
                <w:szCs w:val="18"/>
                <w:lang w:bidi="ar"/>
              </w:rPr>
              <w:t>序号</w:t>
            </w:r>
          </w:p>
        </w:tc>
        <w:tc>
          <w:tcPr>
            <w:tcW w:w="1924" w:type="pct"/>
            <w:vMerge w:val="restart"/>
            <w:shd w:val="clear" w:color="auto" w:fill="BEBEBE" w:themeFill="background1" w:themeFillShade="BF"/>
            <w:vAlign w:val="center"/>
          </w:tcPr>
          <w:p w14:paraId="71FC38E3">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rPr>
            </w:pPr>
            <w:r>
              <w:rPr>
                <w:rFonts w:ascii="Times New Roman" w:hAnsi="Times New Roman" w:eastAsia="仿宋" w:cs="Times New Roman"/>
                <w:b/>
                <w:bCs/>
                <w:color w:val="000000"/>
                <w:sz w:val="18"/>
                <w:szCs w:val="18"/>
                <w:lang w:bidi="ar"/>
              </w:rPr>
              <w:t>项目</w:t>
            </w:r>
          </w:p>
        </w:tc>
        <w:tc>
          <w:tcPr>
            <w:tcW w:w="1363" w:type="pct"/>
            <w:vMerge w:val="restart"/>
            <w:shd w:val="clear" w:color="auto" w:fill="BEBEBE" w:themeFill="background1" w:themeFillShade="BF"/>
            <w:vAlign w:val="center"/>
          </w:tcPr>
          <w:p w14:paraId="49FEA2D2">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rPr>
            </w:pPr>
            <w:r>
              <w:rPr>
                <w:rFonts w:ascii="Times New Roman" w:hAnsi="Times New Roman" w:eastAsia="仿宋" w:cs="Times New Roman"/>
                <w:b/>
                <w:bCs/>
                <w:color w:val="000000"/>
                <w:sz w:val="18"/>
                <w:szCs w:val="18"/>
                <w:lang w:bidi="ar"/>
              </w:rPr>
              <w:t>合计</w:t>
            </w:r>
          </w:p>
        </w:tc>
        <w:tc>
          <w:tcPr>
            <w:tcW w:w="1024" w:type="pct"/>
            <w:shd w:val="clear" w:color="auto" w:fill="BEBEBE" w:themeFill="background1" w:themeFillShade="BF"/>
            <w:vAlign w:val="center"/>
          </w:tcPr>
          <w:p w14:paraId="41D7D6D0">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lang w:bidi="ar"/>
              </w:rPr>
            </w:pPr>
            <w:r>
              <w:rPr>
                <w:rFonts w:ascii="Times New Roman" w:hAnsi="Times New Roman" w:eastAsia="仿宋" w:cs="Times New Roman"/>
                <w:b/>
                <w:bCs/>
                <w:color w:val="000000"/>
                <w:sz w:val="18"/>
                <w:szCs w:val="18"/>
                <w:lang w:bidi="ar"/>
              </w:rPr>
              <w:t>建设期</w:t>
            </w:r>
          </w:p>
        </w:tc>
      </w:tr>
      <w:tr w14:paraId="1033268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vMerge w:val="continue"/>
            <w:shd w:val="clear" w:color="auto" w:fill="BEBEBE" w:themeFill="background1" w:themeFillShade="BF"/>
            <w:vAlign w:val="center"/>
          </w:tcPr>
          <w:p w14:paraId="24627B00">
            <w:pPr>
              <w:adjustRightInd w:val="0"/>
              <w:snapToGrid w:val="0"/>
              <w:spacing w:before="0" w:beforeLines="0" w:after="0" w:afterLines="0" w:line="240" w:lineRule="auto"/>
              <w:ind w:firstLine="0" w:firstLineChars="0"/>
              <w:jc w:val="center"/>
              <w:rPr>
                <w:rFonts w:ascii="Times New Roman" w:hAnsi="Times New Roman" w:eastAsia="仿宋" w:cs="Times New Roman"/>
                <w:b/>
                <w:bCs/>
                <w:color w:val="000000"/>
                <w:sz w:val="18"/>
                <w:szCs w:val="18"/>
              </w:rPr>
            </w:pPr>
          </w:p>
        </w:tc>
        <w:tc>
          <w:tcPr>
            <w:tcW w:w="1924" w:type="pct"/>
            <w:vMerge w:val="continue"/>
            <w:shd w:val="clear" w:color="auto" w:fill="BEBEBE" w:themeFill="background1" w:themeFillShade="BF"/>
            <w:vAlign w:val="center"/>
          </w:tcPr>
          <w:p w14:paraId="1143A676">
            <w:pPr>
              <w:adjustRightInd w:val="0"/>
              <w:snapToGrid w:val="0"/>
              <w:spacing w:before="0" w:beforeLines="0" w:after="0" w:afterLines="0" w:line="240" w:lineRule="auto"/>
              <w:ind w:firstLine="0" w:firstLineChars="0"/>
              <w:jc w:val="center"/>
              <w:rPr>
                <w:rFonts w:ascii="Times New Roman" w:hAnsi="Times New Roman" w:eastAsia="仿宋" w:cs="Times New Roman"/>
                <w:b/>
                <w:bCs/>
                <w:color w:val="000000"/>
                <w:sz w:val="18"/>
                <w:szCs w:val="18"/>
              </w:rPr>
            </w:pPr>
          </w:p>
        </w:tc>
        <w:tc>
          <w:tcPr>
            <w:tcW w:w="1363" w:type="pct"/>
            <w:vMerge w:val="continue"/>
            <w:shd w:val="clear" w:color="auto" w:fill="BEBEBE" w:themeFill="background1" w:themeFillShade="BF"/>
            <w:vAlign w:val="center"/>
          </w:tcPr>
          <w:p w14:paraId="41969D7D">
            <w:pPr>
              <w:adjustRightInd w:val="0"/>
              <w:snapToGrid w:val="0"/>
              <w:spacing w:before="0" w:beforeLines="0" w:after="0" w:afterLines="0" w:line="240" w:lineRule="auto"/>
              <w:ind w:firstLine="0" w:firstLineChars="0"/>
              <w:jc w:val="center"/>
              <w:rPr>
                <w:rFonts w:ascii="Times New Roman" w:hAnsi="Times New Roman" w:eastAsia="仿宋" w:cs="Times New Roman"/>
                <w:b/>
                <w:bCs/>
                <w:color w:val="000000"/>
                <w:sz w:val="18"/>
                <w:szCs w:val="18"/>
              </w:rPr>
            </w:pPr>
          </w:p>
        </w:tc>
        <w:tc>
          <w:tcPr>
            <w:tcW w:w="1024" w:type="pct"/>
            <w:shd w:val="clear" w:color="auto" w:fill="BEBEBE" w:themeFill="background1" w:themeFillShade="BF"/>
            <w:vAlign w:val="center"/>
          </w:tcPr>
          <w:p w14:paraId="61BE1524">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bCs/>
                <w:color w:val="000000"/>
                <w:sz w:val="18"/>
                <w:szCs w:val="18"/>
                <w:lang w:val="en-US" w:eastAsia="zh-CN"/>
              </w:rPr>
            </w:pPr>
            <w:r>
              <w:rPr>
                <w:rFonts w:ascii="Times New Roman" w:hAnsi="Times New Roman" w:eastAsia="仿宋" w:cs="Times New Roman"/>
                <w:b/>
                <w:bCs/>
                <w:color w:val="000000"/>
                <w:sz w:val="18"/>
                <w:szCs w:val="18"/>
                <w:lang w:bidi="ar"/>
              </w:rPr>
              <w:t>202</w:t>
            </w:r>
            <w:r>
              <w:rPr>
                <w:rFonts w:hint="eastAsia" w:ascii="Times New Roman" w:hAnsi="Times New Roman" w:eastAsia="仿宋" w:cs="Times New Roman"/>
                <w:b/>
                <w:bCs/>
                <w:color w:val="000000"/>
                <w:sz w:val="18"/>
                <w:szCs w:val="18"/>
                <w:lang w:val="en-US" w:eastAsia="zh-CN" w:bidi="ar"/>
              </w:rPr>
              <w:t>5</w:t>
            </w:r>
            <w:r>
              <w:rPr>
                <w:rFonts w:ascii="Times New Roman" w:hAnsi="Times New Roman" w:eastAsia="仿宋" w:cs="Times New Roman"/>
                <w:b/>
                <w:bCs/>
                <w:color w:val="000000"/>
                <w:sz w:val="18"/>
                <w:szCs w:val="18"/>
                <w:lang w:bidi="ar"/>
              </w:rPr>
              <w:t>年</w:t>
            </w:r>
            <w:r>
              <w:rPr>
                <w:rFonts w:hint="eastAsia" w:ascii="Times New Roman" w:hAnsi="Times New Roman" w:eastAsia="仿宋" w:cs="Times New Roman"/>
                <w:b/>
                <w:bCs/>
                <w:color w:val="000000"/>
                <w:sz w:val="18"/>
                <w:szCs w:val="18"/>
                <w:lang w:val="en-US" w:eastAsia="zh-CN" w:bidi="ar"/>
              </w:rPr>
              <w:t>3月-8月</w:t>
            </w:r>
          </w:p>
        </w:tc>
      </w:tr>
      <w:tr w14:paraId="5488841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shd w:val="clear" w:color="auto" w:fill="auto"/>
            <w:vAlign w:val="center"/>
          </w:tcPr>
          <w:p w14:paraId="25546F68">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rPr>
            </w:pPr>
            <w:r>
              <w:rPr>
                <w:rFonts w:ascii="Times New Roman" w:hAnsi="Times New Roman" w:eastAsia="仿宋" w:cs="Times New Roman"/>
                <w:b/>
                <w:bCs/>
                <w:color w:val="000000"/>
                <w:sz w:val="18"/>
                <w:szCs w:val="18"/>
                <w:lang w:bidi="ar"/>
              </w:rPr>
              <w:t>1</w:t>
            </w:r>
          </w:p>
        </w:tc>
        <w:tc>
          <w:tcPr>
            <w:tcW w:w="1924" w:type="pct"/>
            <w:shd w:val="clear" w:color="auto" w:fill="auto"/>
            <w:vAlign w:val="center"/>
          </w:tcPr>
          <w:p w14:paraId="1D4674CC">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rPr>
            </w:pPr>
            <w:r>
              <w:rPr>
                <w:rFonts w:ascii="Times New Roman" w:hAnsi="Times New Roman" w:eastAsia="仿宋" w:cs="Times New Roman"/>
                <w:b/>
                <w:bCs/>
                <w:color w:val="000000"/>
                <w:sz w:val="18"/>
                <w:szCs w:val="18"/>
                <w:lang w:bidi="ar"/>
              </w:rPr>
              <w:t>资金使用</w:t>
            </w:r>
          </w:p>
        </w:tc>
        <w:tc>
          <w:tcPr>
            <w:tcW w:w="1363" w:type="pct"/>
            <w:shd w:val="clear" w:color="auto" w:fill="auto"/>
            <w:vAlign w:val="center"/>
          </w:tcPr>
          <w:p w14:paraId="54D7455A">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bCs/>
                <w:color w:val="000000"/>
                <w:sz w:val="18"/>
                <w:szCs w:val="18"/>
                <w:lang w:val="en-US" w:eastAsia="zh-CN" w:bidi="ar"/>
              </w:rPr>
            </w:pPr>
            <w:r>
              <w:rPr>
                <w:rFonts w:hint="eastAsia" w:ascii="Times New Roman" w:hAnsi="Times New Roman" w:eastAsia="仿宋" w:cs="Times New Roman"/>
                <w:b/>
                <w:bCs/>
                <w:color w:val="000000"/>
                <w:sz w:val="18"/>
                <w:szCs w:val="18"/>
                <w:lang w:val="en-US" w:eastAsia="zh-CN" w:bidi="ar"/>
              </w:rPr>
              <w:t>9,459.18</w:t>
            </w:r>
          </w:p>
        </w:tc>
        <w:tc>
          <w:tcPr>
            <w:tcW w:w="1024" w:type="pct"/>
            <w:shd w:val="clear" w:color="auto" w:fill="auto"/>
            <w:vAlign w:val="center"/>
          </w:tcPr>
          <w:p w14:paraId="499FCF17">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bCs/>
                <w:color w:val="000000"/>
                <w:sz w:val="18"/>
                <w:szCs w:val="18"/>
                <w:lang w:val="en-US" w:eastAsia="zh-CN" w:bidi="ar"/>
              </w:rPr>
            </w:pPr>
            <w:r>
              <w:rPr>
                <w:rFonts w:hint="eastAsia" w:ascii="Times New Roman" w:hAnsi="Times New Roman" w:eastAsia="仿宋" w:cs="Times New Roman"/>
                <w:b/>
                <w:bCs/>
                <w:color w:val="000000"/>
                <w:sz w:val="18"/>
                <w:szCs w:val="18"/>
                <w:lang w:val="en-US" w:eastAsia="zh-CN" w:bidi="ar"/>
              </w:rPr>
              <w:t>9,459.18</w:t>
            </w:r>
          </w:p>
        </w:tc>
      </w:tr>
      <w:tr w14:paraId="20BA49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shd w:val="clear" w:color="auto" w:fill="auto"/>
            <w:vAlign w:val="center"/>
          </w:tcPr>
          <w:p w14:paraId="4064ED71">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1.1</w:t>
            </w:r>
          </w:p>
        </w:tc>
        <w:tc>
          <w:tcPr>
            <w:tcW w:w="1924" w:type="pct"/>
            <w:shd w:val="clear" w:color="auto" w:fill="auto"/>
            <w:vAlign w:val="center"/>
          </w:tcPr>
          <w:p w14:paraId="2847B775">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建设投资支出</w:t>
            </w:r>
          </w:p>
        </w:tc>
        <w:tc>
          <w:tcPr>
            <w:tcW w:w="1363" w:type="pct"/>
            <w:shd w:val="clear" w:color="auto" w:fill="auto"/>
            <w:vAlign w:val="center"/>
          </w:tcPr>
          <w:p w14:paraId="52C19C9A">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9,207.18</w:t>
            </w:r>
          </w:p>
        </w:tc>
        <w:tc>
          <w:tcPr>
            <w:tcW w:w="1024" w:type="pct"/>
            <w:shd w:val="clear" w:color="auto" w:fill="auto"/>
            <w:vAlign w:val="center"/>
          </w:tcPr>
          <w:p w14:paraId="230F5D04">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9,207.18</w:t>
            </w:r>
          </w:p>
        </w:tc>
      </w:tr>
      <w:tr w14:paraId="141942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shd w:val="clear" w:color="auto" w:fill="auto"/>
            <w:vAlign w:val="center"/>
          </w:tcPr>
          <w:p w14:paraId="1899C698">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1.2</w:t>
            </w:r>
          </w:p>
        </w:tc>
        <w:tc>
          <w:tcPr>
            <w:tcW w:w="1924" w:type="pct"/>
            <w:shd w:val="clear" w:color="auto" w:fill="auto"/>
            <w:vAlign w:val="center"/>
          </w:tcPr>
          <w:p w14:paraId="24915E6F">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债券利息支出</w:t>
            </w:r>
          </w:p>
        </w:tc>
        <w:tc>
          <w:tcPr>
            <w:tcW w:w="1363" w:type="pct"/>
            <w:shd w:val="clear" w:color="auto" w:fill="auto"/>
            <w:vAlign w:val="center"/>
          </w:tcPr>
          <w:p w14:paraId="37CA59B2">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245.00</w:t>
            </w:r>
          </w:p>
        </w:tc>
        <w:tc>
          <w:tcPr>
            <w:tcW w:w="1024" w:type="pct"/>
            <w:shd w:val="clear" w:color="auto" w:fill="auto"/>
            <w:vAlign w:val="center"/>
          </w:tcPr>
          <w:p w14:paraId="30F4EB71">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 xml:space="preserve">245.00 </w:t>
            </w:r>
          </w:p>
        </w:tc>
      </w:tr>
      <w:tr w14:paraId="6053FF8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shd w:val="clear" w:color="auto" w:fill="auto"/>
            <w:vAlign w:val="center"/>
          </w:tcPr>
          <w:p w14:paraId="4398EF47">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1.3</w:t>
            </w:r>
          </w:p>
        </w:tc>
        <w:tc>
          <w:tcPr>
            <w:tcW w:w="1924" w:type="pct"/>
            <w:shd w:val="clear" w:color="auto" w:fill="auto"/>
            <w:vAlign w:val="center"/>
          </w:tcPr>
          <w:p w14:paraId="40FD8DCC">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债券发行费用</w:t>
            </w:r>
          </w:p>
        </w:tc>
        <w:tc>
          <w:tcPr>
            <w:tcW w:w="1363" w:type="pct"/>
            <w:shd w:val="clear" w:color="auto" w:fill="auto"/>
            <w:vAlign w:val="center"/>
          </w:tcPr>
          <w:p w14:paraId="704FEE34">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7.00</w:t>
            </w:r>
          </w:p>
        </w:tc>
        <w:tc>
          <w:tcPr>
            <w:tcW w:w="1024" w:type="pct"/>
            <w:shd w:val="clear" w:color="auto" w:fill="auto"/>
            <w:vAlign w:val="center"/>
          </w:tcPr>
          <w:p w14:paraId="69493AD0">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 xml:space="preserve">7.00 </w:t>
            </w:r>
          </w:p>
        </w:tc>
      </w:tr>
      <w:tr w14:paraId="22E1E37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shd w:val="clear" w:color="auto" w:fill="auto"/>
            <w:vAlign w:val="center"/>
          </w:tcPr>
          <w:p w14:paraId="7EF0E2AB">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rPr>
            </w:pPr>
            <w:r>
              <w:rPr>
                <w:rFonts w:ascii="Times New Roman" w:hAnsi="Times New Roman" w:eastAsia="仿宋" w:cs="Times New Roman"/>
                <w:b/>
                <w:bCs/>
                <w:color w:val="000000"/>
                <w:sz w:val="18"/>
                <w:szCs w:val="18"/>
                <w:lang w:bidi="ar"/>
              </w:rPr>
              <w:t>2</w:t>
            </w:r>
          </w:p>
        </w:tc>
        <w:tc>
          <w:tcPr>
            <w:tcW w:w="1924" w:type="pct"/>
            <w:shd w:val="clear" w:color="auto" w:fill="auto"/>
            <w:vAlign w:val="center"/>
          </w:tcPr>
          <w:p w14:paraId="672F5B77">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b/>
                <w:bCs/>
                <w:color w:val="000000"/>
                <w:sz w:val="18"/>
                <w:szCs w:val="18"/>
              </w:rPr>
            </w:pPr>
            <w:r>
              <w:rPr>
                <w:rFonts w:ascii="Times New Roman" w:hAnsi="Times New Roman" w:eastAsia="仿宋" w:cs="Times New Roman"/>
                <w:b/>
                <w:bCs/>
                <w:color w:val="000000"/>
                <w:sz w:val="18"/>
                <w:szCs w:val="18"/>
                <w:lang w:bidi="ar"/>
              </w:rPr>
              <w:t>资金筹措</w:t>
            </w:r>
          </w:p>
        </w:tc>
        <w:tc>
          <w:tcPr>
            <w:tcW w:w="1363" w:type="pct"/>
            <w:shd w:val="clear" w:color="auto" w:fill="auto"/>
            <w:vAlign w:val="center"/>
          </w:tcPr>
          <w:p w14:paraId="5CDE10D0">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bCs/>
                <w:color w:val="000000"/>
                <w:sz w:val="18"/>
                <w:szCs w:val="18"/>
                <w:lang w:val="en-US" w:eastAsia="zh-CN" w:bidi="ar"/>
              </w:rPr>
            </w:pPr>
            <w:r>
              <w:rPr>
                <w:rFonts w:hint="eastAsia" w:ascii="Times New Roman" w:hAnsi="Times New Roman" w:eastAsia="仿宋" w:cs="Times New Roman"/>
                <w:b/>
                <w:bCs/>
                <w:color w:val="000000"/>
                <w:sz w:val="18"/>
                <w:szCs w:val="18"/>
                <w:lang w:val="en-US" w:eastAsia="zh-CN" w:bidi="ar"/>
              </w:rPr>
              <w:t>9,459.18</w:t>
            </w:r>
          </w:p>
        </w:tc>
        <w:tc>
          <w:tcPr>
            <w:tcW w:w="1024" w:type="pct"/>
            <w:shd w:val="clear" w:color="auto" w:fill="auto"/>
            <w:vAlign w:val="center"/>
          </w:tcPr>
          <w:p w14:paraId="37782656">
            <w:pPr>
              <w:adjustRightInd w:val="0"/>
              <w:snapToGrid w:val="0"/>
              <w:spacing w:before="0" w:beforeLines="0" w:after="0" w:afterLines="0" w:line="240" w:lineRule="auto"/>
              <w:ind w:firstLine="0" w:firstLineChars="0"/>
              <w:jc w:val="center"/>
              <w:textAlignment w:val="center"/>
              <w:rPr>
                <w:rFonts w:hint="default" w:ascii="Times New Roman" w:hAnsi="Times New Roman" w:eastAsia="仿宋" w:cs="Times New Roman"/>
                <w:b/>
                <w:bCs/>
                <w:color w:val="000000"/>
                <w:sz w:val="18"/>
                <w:szCs w:val="18"/>
                <w:lang w:val="en-US" w:eastAsia="zh-CN" w:bidi="ar"/>
              </w:rPr>
            </w:pPr>
            <w:r>
              <w:rPr>
                <w:rFonts w:hint="eastAsia" w:ascii="Times New Roman" w:hAnsi="Times New Roman" w:eastAsia="仿宋" w:cs="Times New Roman"/>
                <w:b/>
                <w:bCs/>
                <w:color w:val="000000"/>
                <w:sz w:val="18"/>
                <w:szCs w:val="18"/>
                <w:lang w:val="en-US" w:eastAsia="zh-CN" w:bidi="ar"/>
              </w:rPr>
              <w:t>9,459.18</w:t>
            </w:r>
          </w:p>
        </w:tc>
      </w:tr>
      <w:tr w14:paraId="37C10E6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shd w:val="clear" w:color="auto" w:fill="auto"/>
            <w:vAlign w:val="center"/>
          </w:tcPr>
          <w:p w14:paraId="13271AC6">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2.1</w:t>
            </w:r>
          </w:p>
        </w:tc>
        <w:tc>
          <w:tcPr>
            <w:tcW w:w="1924" w:type="pct"/>
            <w:shd w:val="clear" w:color="auto" w:fill="auto"/>
            <w:vAlign w:val="center"/>
          </w:tcPr>
          <w:p w14:paraId="41CC3F8C">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资本金</w:t>
            </w:r>
          </w:p>
        </w:tc>
        <w:tc>
          <w:tcPr>
            <w:tcW w:w="1363" w:type="pct"/>
            <w:shd w:val="clear" w:color="auto" w:fill="auto"/>
            <w:vAlign w:val="center"/>
          </w:tcPr>
          <w:p w14:paraId="17C55F6A">
            <w:pPr>
              <w:adjustRightInd w:val="0"/>
              <w:snapToGrid w:val="0"/>
              <w:spacing w:before="0" w:beforeLines="0" w:after="0" w:afterLines="0" w:line="240" w:lineRule="auto"/>
              <w:ind w:firstLine="0" w:firstLineChars="0"/>
              <w:jc w:val="center"/>
              <w:textAlignment w:val="center"/>
              <w:rPr>
                <w:rFonts w:hint="eastAsia"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2,459.18</w:t>
            </w:r>
          </w:p>
        </w:tc>
        <w:tc>
          <w:tcPr>
            <w:tcW w:w="1024" w:type="pct"/>
            <w:shd w:val="clear" w:color="auto" w:fill="auto"/>
            <w:vAlign w:val="center"/>
          </w:tcPr>
          <w:p w14:paraId="48CB9F89">
            <w:pPr>
              <w:adjustRightInd w:val="0"/>
              <w:snapToGrid w:val="0"/>
              <w:spacing w:before="0" w:beforeLines="0" w:after="0" w:afterLines="0" w:line="240" w:lineRule="auto"/>
              <w:ind w:firstLine="0" w:firstLineChars="0"/>
              <w:jc w:val="center"/>
              <w:textAlignment w:val="center"/>
              <w:rPr>
                <w:rFonts w:hint="eastAsia"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2,459.18</w:t>
            </w:r>
          </w:p>
        </w:tc>
      </w:tr>
      <w:tr w14:paraId="5FE359D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687" w:type="pct"/>
            <w:shd w:val="clear" w:color="auto" w:fill="auto"/>
            <w:vAlign w:val="center"/>
          </w:tcPr>
          <w:p w14:paraId="13B2FF94">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2.2</w:t>
            </w:r>
          </w:p>
        </w:tc>
        <w:tc>
          <w:tcPr>
            <w:tcW w:w="1924" w:type="pct"/>
            <w:shd w:val="clear" w:color="auto" w:fill="auto"/>
            <w:vAlign w:val="center"/>
          </w:tcPr>
          <w:p w14:paraId="28DDBEF3">
            <w:pPr>
              <w:adjustRightInd w:val="0"/>
              <w:snapToGrid w:val="0"/>
              <w:spacing w:before="0" w:beforeLines="0" w:after="0" w:afterLines="0" w:line="240" w:lineRule="auto"/>
              <w:ind w:firstLine="0" w:firstLineChars="0"/>
              <w:jc w:val="center"/>
              <w:textAlignment w:val="center"/>
              <w:rPr>
                <w:rFonts w:ascii="Times New Roman" w:hAnsi="Times New Roman" w:eastAsia="仿宋" w:cs="Times New Roman"/>
                <w:color w:val="000000"/>
                <w:sz w:val="18"/>
                <w:szCs w:val="18"/>
              </w:rPr>
            </w:pPr>
            <w:r>
              <w:rPr>
                <w:rFonts w:ascii="Times New Roman" w:hAnsi="Times New Roman" w:eastAsia="仿宋" w:cs="Times New Roman"/>
                <w:color w:val="000000"/>
                <w:sz w:val="18"/>
                <w:szCs w:val="18"/>
                <w:lang w:bidi="ar"/>
              </w:rPr>
              <w:t>专项债券资金</w:t>
            </w:r>
          </w:p>
        </w:tc>
        <w:tc>
          <w:tcPr>
            <w:tcW w:w="1363" w:type="pct"/>
            <w:shd w:val="clear" w:color="auto" w:fill="auto"/>
            <w:vAlign w:val="center"/>
          </w:tcPr>
          <w:p w14:paraId="1B24CA66">
            <w:pPr>
              <w:adjustRightInd w:val="0"/>
              <w:snapToGrid w:val="0"/>
              <w:spacing w:before="0" w:beforeLines="0" w:after="0" w:afterLines="0" w:line="240" w:lineRule="auto"/>
              <w:ind w:firstLine="0" w:firstLineChars="0"/>
              <w:jc w:val="center"/>
              <w:textAlignment w:val="center"/>
              <w:rPr>
                <w:rFonts w:hint="eastAsia"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7,000.00</w:t>
            </w:r>
          </w:p>
        </w:tc>
        <w:tc>
          <w:tcPr>
            <w:tcW w:w="1024" w:type="pct"/>
            <w:shd w:val="clear" w:color="auto" w:fill="auto"/>
            <w:vAlign w:val="center"/>
          </w:tcPr>
          <w:p w14:paraId="75F4B88C">
            <w:pPr>
              <w:adjustRightInd w:val="0"/>
              <w:snapToGrid w:val="0"/>
              <w:spacing w:before="0" w:beforeLines="0" w:after="0" w:afterLines="0" w:line="240" w:lineRule="auto"/>
              <w:ind w:firstLine="0" w:firstLineChars="0"/>
              <w:jc w:val="center"/>
              <w:textAlignment w:val="center"/>
              <w:rPr>
                <w:rFonts w:hint="eastAsia" w:ascii="Times New Roman" w:hAnsi="Times New Roman" w:eastAsia="仿宋" w:cs="Times New Roman"/>
                <w:b w:val="0"/>
                <w:bCs w:val="0"/>
                <w:color w:val="000000"/>
                <w:sz w:val="18"/>
                <w:szCs w:val="18"/>
                <w:lang w:val="en-US" w:eastAsia="zh-CN" w:bidi="ar"/>
              </w:rPr>
            </w:pPr>
            <w:r>
              <w:rPr>
                <w:rFonts w:hint="eastAsia" w:ascii="Times New Roman" w:hAnsi="Times New Roman" w:eastAsia="仿宋" w:cs="Times New Roman"/>
                <w:b w:val="0"/>
                <w:bCs w:val="0"/>
                <w:color w:val="000000"/>
                <w:sz w:val="18"/>
                <w:szCs w:val="18"/>
                <w:lang w:val="en-US" w:eastAsia="zh-CN" w:bidi="ar"/>
              </w:rPr>
              <w:t>7,000.00</w:t>
            </w:r>
          </w:p>
        </w:tc>
      </w:tr>
    </w:tbl>
    <w:p w14:paraId="3708D3A8">
      <w:pPr>
        <w:pStyle w:val="11"/>
        <w:spacing w:before="0" w:beforeAutospacing="0" w:after="0" w:line="240" w:lineRule="auto"/>
        <w:ind w:firstLine="0" w:firstLineChars="0"/>
        <w:jc w:val="both"/>
        <w:outlineLvl w:val="9"/>
        <w:rPr>
          <w:rFonts w:eastAsia="仿宋" w:cs="Times New Roman"/>
          <w:b/>
          <w:bCs/>
          <w:sz w:val="18"/>
          <w:szCs w:val="18"/>
        </w:rPr>
      </w:pPr>
    </w:p>
    <w:p w14:paraId="7873313E">
      <w:pPr>
        <w:adjustRightInd w:val="0"/>
        <w:snapToGrid w:val="0"/>
        <w:spacing w:before="0" w:after="0"/>
        <w:ind w:firstLine="0" w:firstLineChars="0"/>
        <w:jc w:val="both"/>
        <w:outlineLvl w:val="0"/>
        <w:rPr>
          <w:rFonts w:hint="eastAsia" w:ascii="仿宋" w:hAnsi="仿宋" w:eastAsia="仿宋" w:cs="仿宋"/>
          <w:b/>
          <w:bCs/>
          <w:sz w:val="24"/>
          <w:szCs w:val="24"/>
        </w:rPr>
      </w:pPr>
      <w:bookmarkStart w:id="33" w:name="_Toc30682"/>
      <w:bookmarkStart w:id="34" w:name="_Toc24791"/>
      <w:bookmarkStart w:id="35" w:name="_Toc7047"/>
      <w:r>
        <w:rPr>
          <w:rFonts w:hint="eastAsia" w:ascii="仿宋" w:hAnsi="仿宋" w:eastAsia="仿宋" w:cs="仿宋"/>
          <w:b/>
          <w:bCs/>
          <w:sz w:val="24"/>
          <w:szCs w:val="24"/>
        </w:rPr>
        <w:t>四、项目预期收益、成本及融资平衡情况</w:t>
      </w:r>
      <w:bookmarkEnd w:id="33"/>
      <w:bookmarkEnd w:id="34"/>
      <w:bookmarkEnd w:id="35"/>
    </w:p>
    <w:p w14:paraId="6A0CEA10">
      <w:pPr>
        <w:spacing w:before="0" w:after="0"/>
        <w:ind w:firstLine="562"/>
        <w:jc w:val="both"/>
        <w:outlineLvl w:val="1"/>
        <w:rPr>
          <w:rFonts w:hint="eastAsia" w:ascii="仿宋" w:hAnsi="仿宋" w:eastAsia="仿宋" w:cs="仿宋"/>
          <w:b/>
          <w:bCs/>
          <w:sz w:val="24"/>
          <w:szCs w:val="24"/>
        </w:rPr>
      </w:pPr>
      <w:bookmarkStart w:id="36" w:name="_Toc1076"/>
      <w:bookmarkStart w:id="37" w:name="_Toc7189"/>
      <w:bookmarkStart w:id="38" w:name="_Toc20008"/>
      <w:r>
        <w:rPr>
          <w:rFonts w:hint="eastAsia" w:ascii="仿宋" w:hAnsi="仿宋" w:eastAsia="仿宋" w:cs="仿宋"/>
          <w:b/>
          <w:bCs/>
          <w:sz w:val="24"/>
          <w:szCs w:val="24"/>
        </w:rPr>
        <w:t>（一）预期收益</w:t>
      </w:r>
      <w:bookmarkEnd w:id="36"/>
      <w:bookmarkEnd w:id="37"/>
      <w:bookmarkEnd w:id="38"/>
    </w:p>
    <w:p w14:paraId="50C6F5EC">
      <w:pPr>
        <w:spacing w:before="0" w:after="0"/>
        <w:ind w:firstLine="562"/>
        <w:jc w:val="both"/>
        <w:outlineLvl w:val="2"/>
        <w:rPr>
          <w:rFonts w:hint="eastAsia" w:ascii="仿宋" w:hAnsi="仿宋" w:eastAsia="仿宋" w:cs="仿宋"/>
          <w:b/>
          <w:bCs/>
          <w:sz w:val="24"/>
          <w:szCs w:val="24"/>
        </w:rPr>
      </w:pPr>
      <w:bookmarkStart w:id="39" w:name="_Toc20184"/>
      <w:bookmarkStart w:id="40" w:name="_Toc31033"/>
      <w:bookmarkStart w:id="41" w:name="_Toc19563"/>
      <w:r>
        <w:rPr>
          <w:rFonts w:hint="eastAsia" w:ascii="仿宋" w:hAnsi="仿宋" w:eastAsia="仿宋" w:cs="仿宋"/>
          <w:b/>
          <w:bCs/>
          <w:sz w:val="24"/>
          <w:szCs w:val="24"/>
        </w:rPr>
        <w:t>1、项目收入</w:t>
      </w:r>
      <w:bookmarkEnd w:id="39"/>
      <w:bookmarkEnd w:id="40"/>
      <w:bookmarkEnd w:id="41"/>
    </w:p>
    <w:p w14:paraId="49F57FEB">
      <w:pPr>
        <w:spacing w:before="0" w:after="0"/>
        <w:ind w:firstLine="56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本项目收入来源主要为</w:t>
      </w:r>
      <w:r>
        <w:rPr>
          <w:rFonts w:hint="default" w:ascii="Times New Roman" w:hAnsi="Times New Roman" w:eastAsia="仿宋" w:cs="Times New Roman"/>
          <w:sz w:val="24"/>
          <w:szCs w:val="24"/>
          <w:lang w:val="en-US" w:eastAsia="zh-CN"/>
        </w:rPr>
        <w:t>垃圾处理费收入</w:t>
      </w:r>
      <w:r>
        <w:rPr>
          <w:rFonts w:hint="default" w:ascii="Times New Roman" w:hAnsi="Times New Roman" w:eastAsia="仿宋" w:cs="Times New Roman"/>
          <w:sz w:val="24"/>
          <w:szCs w:val="24"/>
        </w:rPr>
        <w:t>。项目收入为专项收入，纳入地方政府性基金预算管理。</w:t>
      </w:r>
      <w:r>
        <w:rPr>
          <w:rFonts w:hint="default" w:ascii="Times New Roman" w:hAnsi="Times New Roman" w:eastAsia="仿宋" w:cs="Times New Roman"/>
          <w:sz w:val="24"/>
          <w:szCs w:val="24"/>
          <w:lang w:val="en-US" w:eastAsia="zh-CN"/>
        </w:rPr>
        <w:t>债券存续期</w:t>
      </w:r>
      <w:r>
        <w:rPr>
          <w:rFonts w:hint="default" w:ascii="Times New Roman" w:hAnsi="Times New Roman" w:eastAsia="仿宋" w:cs="Times New Roman"/>
          <w:sz w:val="24"/>
          <w:szCs w:val="24"/>
        </w:rPr>
        <w:t>运营收入共计23670.3</w:t>
      </w:r>
      <w:r>
        <w:rPr>
          <w:rFonts w:hint="eastAsia" w:ascii="Times New Roman" w:hAnsi="Times New Roman" w:eastAsia="仿宋" w:cs="Times New Roman"/>
          <w:sz w:val="24"/>
          <w:szCs w:val="24"/>
          <w:lang w:val="en-US" w:eastAsia="zh-CN"/>
        </w:rPr>
        <w:t>5</w:t>
      </w:r>
      <w:r>
        <w:rPr>
          <w:rFonts w:hint="default" w:ascii="Times New Roman" w:hAnsi="Times New Roman" w:eastAsia="仿宋" w:cs="Times New Roman"/>
          <w:sz w:val="24"/>
          <w:szCs w:val="24"/>
        </w:rPr>
        <w:t>万元。</w:t>
      </w:r>
    </w:p>
    <w:p w14:paraId="71785B3A">
      <w:pPr>
        <w:spacing w:before="0" w:after="0"/>
        <w:ind w:firstLine="562"/>
        <w:jc w:val="both"/>
        <w:outlineLvl w:val="2"/>
        <w:rPr>
          <w:rFonts w:hint="eastAsia" w:ascii="仿宋" w:hAnsi="仿宋" w:eastAsia="仿宋" w:cs="仿宋"/>
          <w:b/>
          <w:bCs/>
          <w:sz w:val="24"/>
          <w:szCs w:val="24"/>
        </w:rPr>
      </w:pPr>
      <w:bookmarkStart w:id="42" w:name="_Toc20763"/>
      <w:r>
        <w:rPr>
          <w:rFonts w:hint="eastAsia" w:ascii="仿宋" w:hAnsi="仿宋" w:eastAsia="仿宋" w:cs="仿宋"/>
          <w:b/>
          <w:bCs/>
          <w:sz w:val="24"/>
          <w:szCs w:val="24"/>
        </w:rPr>
        <w:t>2、项目成本</w:t>
      </w:r>
      <w:bookmarkEnd w:id="42"/>
    </w:p>
    <w:p w14:paraId="1FDE75D5">
      <w:pPr>
        <w:pStyle w:val="6"/>
        <w:keepNext w:val="0"/>
        <w:keepLines w:val="0"/>
        <w:pageBreakBefore w:val="0"/>
        <w:widowControl w:val="0"/>
        <w:kinsoku/>
        <w:wordWrap/>
        <w:overflowPunct/>
        <w:topLinePunct w:val="0"/>
        <w:autoSpaceDE w:val="0"/>
        <w:autoSpaceDN w:val="0"/>
        <w:bidi w:val="0"/>
        <w:adjustRightInd w:val="0"/>
        <w:snapToGrid w:val="0"/>
        <w:spacing w:before="0" w:beforeAutospacing="0" w:after="0" w:line="360" w:lineRule="auto"/>
        <w:ind w:left="0" w:right="0" w:firstLine="480" w:firstLineChars="200"/>
        <w:textAlignment w:val="auto"/>
        <w:rPr>
          <w:rFonts w:hint="eastAsia" w:ascii="Times New Roman" w:hAnsi="Times New Roman" w:eastAsia="仿宋" w:cs="Times New Roman"/>
          <w:color w:val="auto"/>
          <w:sz w:val="24"/>
          <w:szCs w:val="24"/>
          <w:lang w:eastAsia="zh-CN"/>
        </w:rPr>
        <w:sectPr>
          <w:footerReference r:id="rId3" w:type="default"/>
          <w:pgSz w:w="11906" w:h="16838"/>
          <w:pgMar w:top="1440" w:right="1803" w:bottom="1440" w:left="1803" w:header="851" w:footer="992" w:gutter="0"/>
          <w:pgNumType w:fmt="decimal" w:start="1"/>
          <w:cols w:space="0" w:num="1"/>
          <w:docGrid w:type="lines" w:linePitch="332" w:charSpace="0"/>
        </w:sectPr>
      </w:pPr>
      <w:r>
        <w:rPr>
          <w:rFonts w:hint="default" w:ascii="Times New Roman" w:hAnsi="Times New Roman" w:eastAsia="仿宋" w:cs="Times New Roman"/>
          <w:sz w:val="24"/>
          <w:szCs w:val="24"/>
        </w:rPr>
        <w:t>本项目主要成本包括经营成本（包括燃料动力费、职工工资及福利、管理费用、维修费、其他费用）、固定资产折旧与摊销费、财务费及相关税费。</w:t>
      </w:r>
      <w:r>
        <w:rPr>
          <w:rFonts w:hint="default" w:ascii="Times New Roman" w:hAnsi="Times New Roman" w:eastAsia="仿宋" w:cs="Times New Roman"/>
          <w:sz w:val="24"/>
          <w:szCs w:val="24"/>
          <w:lang w:val="en-US" w:eastAsia="zh-CN"/>
        </w:rPr>
        <w:t>债券存续期</w:t>
      </w:r>
      <w:r>
        <w:rPr>
          <w:rFonts w:hint="default" w:ascii="Times New Roman" w:hAnsi="Times New Roman" w:eastAsia="仿宋" w:cs="Times New Roman"/>
          <w:color w:val="auto"/>
          <w:sz w:val="24"/>
          <w:szCs w:val="24"/>
        </w:rPr>
        <w:t>项目</w:t>
      </w:r>
      <w:r>
        <w:rPr>
          <w:rFonts w:hint="default" w:ascii="Times New Roman" w:hAnsi="Times New Roman" w:eastAsia="仿宋" w:cs="Times New Roman"/>
          <w:color w:val="auto"/>
          <w:sz w:val="24"/>
          <w:szCs w:val="24"/>
          <w:lang w:eastAsia="zh-CN"/>
        </w:rPr>
        <w:t>总</w:t>
      </w:r>
      <w:r>
        <w:rPr>
          <w:rFonts w:hint="default" w:ascii="Times New Roman" w:hAnsi="Times New Roman" w:eastAsia="仿宋" w:cs="Times New Roman"/>
          <w:color w:val="auto"/>
          <w:sz w:val="24"/>
          <w:szCs w:val="24"/>
        </w:rPr>
        <w:t>成本</w:t>
      </w:r>
      <w:r>
        <w:rPr>
          <w:rFonts w:hint="default" w:ascii="Times New Roman" w:hAnsi="Times New Roman" w:eastAsia="仿宋" w:cs="Times New Roman"/>
          <w:kern w:val="2"/>
          <w:sz w:val="24"/>
          <w:szCs w:val="24"/>
          <w:lang w:val="en-US" w:eastAsia="zh-CN" w:bidi="ar-SA"/>
        </w:rPr>
        <w:t>共计19939.75万元</w:t>
      </w:r>
      <w:r>
        <w:rPr>
          <w:rFonts w:hint="eastAsia" w:ascii="Times New Roman" w:hAnsi="Times New Roman" w:eastAsia="仿宋" w:cs="Times New Roman"/>
          <w:kern w:val="2"/>
          <w:sz w:val="24"/>
          <w:szCs w:val="24"/>
          <w:lang w:val="en-US" w:eastAsia="zh-CN" w:bidi="ar-SA"/>
        </w:rPr>
        <w:t>。</w:t>
      </w:r>
    </w:p>
    <w:p w14:paraId="44D7D84B">
      <w:pPr>
        <w:spacing w:before="0" w:after="0"/>
        <w:ind w:firstLine="482" w:firstLineChars="200"/>
        <w:jc w:val="both"/>
        <w:outlineLvl w:val="2"/>
        <w:rPr>
          <w:rFonts w:hint="eastAsia" w:ascii="仿宋" w:hAnsi="仿宋" w:eastAsia="仿宋" w:cs="仿宋"/>
          <w:b/>
          <w:bCs/>
          <w:sz w:val="24"/>
          <w:szCs w:val="24"/>
        </w:rPr>
      </w:pPr>
      <w:bookmarkStart w:id="43" w:name="_Toc17927"/>
      <w:bookmarkStart w:id="44" w:name="_Toc6726"/>
      <w:bookmarkStart w:id="45" w:name="_Toc12495"/>
      <w:r>
        <w:rPr>
          <w:rFonts w:hint="eastAsia" w:ascii="Times New Roman" w:hAnsi="Times New Roman" w:eastAsia="仿宋" w:cs="Times New Roman"/>
          <w:b/>
          <w:bCs/>
          <w:sz w:val="24"/>
          <w:szCs w:val="24"/>
          <w:lang w:val="en-US" w:eastAsia="zh-CN"/>
        </w:rPr>
        <w:t>3</w:t>
      </w:r>
      <w:r>
        <w:rPr>
          <w:rFonts w:hint="eastAsia" w:ascii="仿宋" w:hAnsi="仿宋" w:eastAsia="仿宋" w:cs="仿宋"/>
          <w:b/>
          <w:bCs/>
          <w:sz w:val="24"/>
          <w:szCs w:val="24"/>
        </w:rPr>
        <w:t>、项目资金平衡情况</w:t>
      </w:r>
      <w:bookmarkEnd w:id="43"/>
      <w:bookmarkEnd w:id="44"/>
      <w:bookmarkEnd w:id="45"/>
    </w:p>
    <w:p w14:paraId="1D6709B4">
      <w:pPr>
        <w:spacing w:before="0" w:after="0" w:line="240" w:lineRule="auto"/>
        <w:ind w:firstLine="480" w:firstLineChars="200"/>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本项目建成后能形成稳定现金流，债券期末累计资金结</w:t>
      </w:r>
      <w:r>
        <w:rPr>
          <w:rFonts w:hint="eastAsia" w:ascii="Times New Roman" w:hAnsi="Times New Roman" w:eastAsia="仿宋" w:cs="Times New Roman"/>
          <w:sz w:val="24"/>
          <w:szCs w:val="24"/>
          <w:lang w:val="en-US" w:eastAsia="zh-CN"/>
        </w:rPr>
        <w:t>余</w:t>
      </w:r>
      <w:r>
        <w:rPr>
          <w:rFonts w:hint="default" w:ascii="Times New Roman" w:hAnsi="Times New Roman" w:eastAsia="仿宋" w:cs="Times New Roman"/>
          <w:sz w:val="24"/>
          <w:szCs w:val="24"/>
          <w:lang w:eastAsia="zh-CN"/>
        </w:rPr>
        <w:t>4334.86</w:t>
      </w:r>
      <w:r>
        <w:rPr>
          <w:rFonts w:hint="default" w:ascii="Times New Roman" w:hAnsi="Times New Roman" w:eastAsia="仿宋" w:cs="Times New Roman"/>
          <w:sz w:val="24"/>
          <w:szCs w:val="24"/>
        </w:rPr>
        <w:t>万元。用于资金平衡的净收益（息前净现金流）的金额为</w:t>
      </w:r>
      <w:r>
        <w:rPr>
          <w:rFonts w:hint="default" w:ascii="Times New Roman" w:hAnsi="Times New Roman" w:eastAsia="仿宋" w:cs="Times New Roman"/>
          <w:sz w:val="24"/>
          <w:szCs w:val="24"/>
          <w:lang w:eastAsia="zh-CN"/>
        </w:rPr>
        <w:t>15989.8</w:t>
      </w:r>
      <w:r>
        <w:rPr>
          <w:rFonts w:hint="eastAsia" w:ascii="Times New Roman" w:hAnsi="Times New Roman" w:eastAsia="仿宋" w:cs="Times New Roman"/>
          <w:sz w:val="24"/>
          <w:szCs w:val="24"/>
          <w:lang w:val="en-US" w:eastAsia="zh-CN"/>
        </w:rPr>
        <w:t>6</w:t>
      </w:r>
      <w:r>
        <w:rPr>
          <w:rFonts w:hint="default" w:ascii="Times New Roman" w:hAnsi="Times New Roman" w:eastAsia="仿宋" w:cs="Times New Roman"/>
          <w:sz w:val="24"/>
          <w:szCs w:val="24"/>
        </w:rPr>
        <w:t>万元，债券本息合计</w:t>
      </w:r>
      <w:r>
        <w:rPr>
          <w:rFonts w:hint="default" w:ascii="Times New Roman" w:hAnsi="Times New Roman" w:eastAsia="仿宋" w:cs="Times New Roman"/>
          <w:sz w:val="24"/>
          <w:szCs w:val="24"/>
          <w:lang w:val="en-US" w:eastAsia="zh-CN"/>
        </w:rPr>
        <w:t>11900.0</w:t>
      </w:r>
      <w:r>
        <w:rPr>
          <w:rFonts w:hint="eastAsia" w:ascii="Times New Roman" w:hAnsi="Times New Roman" w:eastAsia="仿宋" w:cs="Times New Roman"/>
          <w:sz w:val="24"/>
          <w:szCs w:val="24"/>
          <w:lang w:val="en-US" w:eastAsia="zh-CN"/>
        </w:rPr>
        <w:t>0</w:t>
      </w:r>
      <w:r>
        <w:rPr>
          <w:rFonts w:hint="default" w:ascii="Times New Roman" w:hAnsi="Times New Roman" w:eastAsia="仿宋" w:cs="Times New Roman"/>
          <w:sz w:val="24"/>
          <w:szCs w:val="24"/>
        </w:rPr>
        <w:t>万元，偿债覆盖倍数为</w:t>
      </w:r>
      <w:r>
        <w:rPr>
          <w:rFonts w:hint="eastAsia" w:ascii="Times New Roman" w:hAnsi="Times New Roman" w:eastAsia="仿宋" w:cs="Times New Roman"/>
          <w:sz w:val="24"/>
          <w:szCs w:val="24"/>
          <w:lang w:val="en-US" w:eastAsia="zh-CN"/>
        </w:rPr>
        <w:t>1.34倍</w:t>
      </w:r>
      <w:r>
        <w:rPr>
          <w:rFonts w:hint="default" w:ascii="Times New Roman" w:hAnsi="Times New Roman" w:eastAsia="仿宋" w:cs="Times New Roman"/>
          <w:sz w:val="24"/>
          <w:szCs w:val="24"/>
        </w:rPr>
        <w:t>，项目不存在资金缺口，能够实现融资平衡。</w:t>
      </w:r>
    </w:p>
    <w:p w14:paraId="7A9B7F27">
      <w:pPr>
        <w:pStyle w:val="6"/>
        <w:jc w:val="center"/>
        <w:rPr>
          <w:rFonts w:hint="eastAsia"/>
          <w:b/>
          <w:bCs/>
          <w:sz w:val="21"/>
          <w:szCs w:val="21"/>
          <w:lang w:val="en-US" w:eastAsia="zh-CN"/>
        </w:rPr>
      </w:pPr>
      <w:r>
        <w:rPr>
          <w:rFonts w:hint="eastAsia" w:ascii="仿宋" w:hAnsi="仿宋" w:eastAsia="仿宋" w:cs="仿宋"/>
          <w:b/>
          <w:bCs/>
          <w:sz w:val="21"/>
          <w:szCs w:val="21"/>
        </w:rPr>
        <w:t>项目资金平衡测算表</w:t>
      </w:r>
    </w:p>
    <w:p w14:paraId="16BF1939">
      <w:pPr>
        <w:pStyle w:val="6"/>
        <w:jc w:val="right"/>
        <w:rPr>
          <w:rFonts w:hint="eastAsia" w:ascii="仿宋" w:hAnsi="仿宋" w:eastAsia="仿宋" w:cs="仿宋"/>
          <w:b/>
          <w:bCs/>
          <w:sz w:val="18"/>
          <w:szCs w:val="18"/>
        </w:rPr>
      </w:pPr>
      <w:r>
        <w:rPr>
          <w:rFonts w:hint="eastAsia" w:ascii="仿宋" w:hAnsi="仿宋" w:eastAsia="仿宋" w:cs="仿宋"/>
          <w:b/>
          <w:bCs/>
          <w:sz w:val="18"/>
          <w:szCs w:val="18"/>
        </w:rPr>
        <w:t xml:space="preserve">单位：万元 </w:t>
      </w:r>
    </w:p>
    <w:tbl>
      <w:tblPr>
        <w:tblStyle w:val="12"/>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6"/>
        <w:gridCol w:w="1470"/>
        <w:gridCol w:w="769"/>
        <w:gridCol w:w="704"/>
        <w:gridCol w:w="600"/>
        <w:gridCol w:w="600"/>
        <w:gridCol w:w="664"/>
        <w:gridCol w:w="669"/>
        <w:gridCol w:w="669"/>
        <w:gridCol w:w="669"/>
        <w:gridCol w:w="669"/>
        <w:gridCol w:w="669"/>
        <w:gridCol w:w="669"/>
        <w:gridCol w:w="669"/>
        <w:gridCol w:w="669"/>
        <w:gridCol w:w="669"/>
        <w:gridCol w:w="669"/>
        <w:gridCol w:w="670"/>
        <w:gridCol w:w="670"/>
        <w:gridCol w:w="670"/>
        <w:gridCol w:w="670"/>
        <w:gridCol w:w="740"/>
        <w:gridCol w:w="717"/>
      </w:tblGrid>
      <w:tr w14:paraId="082A3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48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47EEAF">
            <w:pPr>
              <w:spacing w:before="0" w:beforeLines="0" w:after="0" w:afterLines="0" w:line="240" w:lineRule="auto"/>
              <w:ind w:firstLine="0" w:firstLineChars="0"/>
              <w:jc w:val="center"/>
              <w:rPr>
                <w:rFonts w:hint="eastAsia" w:ascii="Times New Roman" w:hAnsi="Times New Roman" w:eastAsia="仿宋" w:cs="Times New Roman"/>
                <w:b/>
                <w:bCs/>
                <w:color w:val="000000"/>
                <w:sz w:val="15"/>
                <w:szCs w:val="15"/>
              </w:rPr>
            </w:pPr>
            <w:r>
              <w:rPr>
                <w:rFonts w:hint="eastAsia" w:ascii="Times New Roman" w:hAnsi="Times New Roman" w:eastAsia="仿宋" w:cs="Times New Roman"/>
                <w:b/>
                <w:bCs/>
                <w:color w:val="000000"/>
                <w:sz w:val="15"/>
                <w:szCs w:val="15"/>
                <w:lang w:val="en-US" w:eastAsia="zh-CN"/>
              </w:rPr>
              <w:t>项目</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D3AE58">
            <w:pPr>
              <w:spacing w:before="0" w:beforeLines="0" w:after="0" w:afterLines="0" w:line="240" w:lineRule="auto"/>
              <w:ind w:firstLine="0" w:firstLineChars="0"/>
              <w:jc w:val="center"/>
              <w:rPr>
                <w:rFonts w:hint="eastAsia" w:ascii="Times New Roman" w:hAnsi="Times New Roman" w:eastAsia="仿宋" w:cs="Times New Roman"/>
                <w:b/>
                <w:bCs/>
                <w:color w:val="000000"/>
                <w:sz w:val="15"/>
                <w:szCs w:val="15"/>
              </w:rPr>
            </w:pPr>
            <w:r>
              <w:rPr>
                <w:rFonts w:hint="eastAsia" w:ascii="Times New Roman" w:hAnsi="Times New Roman" w:eastAsia="仿宋" w:cs="Times New Roman"/>
                <w:b/>
                <w:bCs/>
                <w:color w:val="000000"/>
                <w:sz w:val="15"/>
                <w:szCs w:val="15"/>
                <w:lang w:val="en-US" w:eastAsia="zh-CN"/>
              </w:rPr>
              <w:t>合计</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65CCE">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2025</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3EB460">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2026</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AE1EB0">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2027</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EAFB9">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2028</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C156A">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2029</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1ACAE8">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825E2">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2031</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A0C61">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2032</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98E4A6">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2033</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31B86D">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2034</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D0AE4B">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2035</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B09B8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2036</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8FB04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2037</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45758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2038</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FADE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2039</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C583C">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2040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8D3A7B">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2041</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E6F863">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2042</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A1C02C">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2043</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7FDB90">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2044</w:t>
            </w:r>
          </w:p>
        </w:tc>
      </w:tr>
      <w:tr w14:paraId="7C10F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8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D98B19">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资金来源</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7728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E79E1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4A69F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BBE60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454A3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8CF76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C7301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126FD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C2E5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09E2A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AA4CB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D022C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62FD3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76FF3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8931E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34303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3029F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AC714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90C67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6B117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c>
          <w:tcPr>
            <w:tcW w:w="21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4378B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p>
        </w:tc>
      </w:tr>
      <w:tr w14:paraId="52920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6BCDF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r>
              <w:rPr>
                <w:rFonts w:hint="default" w:ascii="Times New Roman" w:hAnsi="Times New Roman" w:eastAsia="仿宋" w:cs="Times New Roman"/>
                <w:b w:val="0"/>
                <w:bCs w:val="0"/>
                <w:color w:val="000000"/>
                <w:sz w:val="15"/>
                <w:szCs w:val="15"/>
                <w:lang w:val="en-US" w:eastAsia="zh-CN"/>
              </w:rPr>
              <w:t>1</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14FD3F">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项目资本金</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34B2AB">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2459.18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C445E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2459.18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C49DA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2583E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CEBE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D79CD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16343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57E21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8179D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CEE48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A36AE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E472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03A5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69BA4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8A8B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C90FB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10E80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7F06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C34F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3C028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B695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r>
      <w:tr w14:paraId="3B297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9AD8C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r>
              <w:rPr>
                <w:rFonts w:hint="default" w:ascii="Times New Roman" w:hAnsi="Times New Roman" w:eastAsia="仿宋" w:cs="Times New Roman"/>
                <w:b w:val="0"/>
                <w:bCs w:val="0"/>
                <w:color w:val="000000"/>
                <w:sz w:val="15"/>
                <w:szCs w:val="15"/>
                <w:lang w:val="en-US" w:eastAsia="zh-CN"/>
              </w:rPr>
              <w:t>2</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D030A">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专项债券资金</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5A840">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7000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7EB983">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7000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FCA5AD">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E0341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FF0AC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E6096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18F09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C852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3F7D0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56985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2861B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8DF3D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C982F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E71C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60BF7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E1DB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8740F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EEC2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E6F09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D9950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DA19A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r>
      <w:tr w14:paraId="4C651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43B60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r>
              <w:rPr>
                <w:rFonts w:hint="default" w:ascii="Times New Roman" w:hAnsi="Times New Roman" w:eastAsia="仿宋" w:cs="Times New Roman"/>
                <w:b w:val="0"/>
                <w:bCs w:val="0"/>
                <w:color w:val="000000"/>
                <w:sz w:val="15"/>
                <w:szCs w:val="15"/>
                <w:lang w:val="en-US" w:eastAsia="zh-CN"/>
              </w:rPr>
              <w:t>3</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CE2A8E">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企业息前净现金流量</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8FE26F">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15989.86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DA958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01FC5D">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564.18 </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1AB9">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622.05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052AA">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682.89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D4E40">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746.81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9E84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769.22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C1D1E3">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789.40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ED042">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785.62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825B19">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803.98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87008C">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822.90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4E037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842.38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AD910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862.44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D278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883.11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4B6CF6">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904.39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45172">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926.32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C5B4E">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948.90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DA47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972.16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69625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996.12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5AF13B">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1020.79 </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06007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1046.21 </w:t>
            </w:r>
          </w:p>
        </w:tc>
      </w:tr>
      <w:tr w14:paraId="6DFFD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8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E7BB7D">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资金来源小计</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72DE13">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25449.04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8D665">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9459.18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EECADA">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564.18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2AB2C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622.05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449FF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682.89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8EAB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746.81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7904D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769.22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B66F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789.40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3160A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785.62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46847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803.98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0D4E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822.90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00258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842.38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A0051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862.44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F02D3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883.11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A2BFD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904.39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1063A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926.32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D8FAB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948.90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DD564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972.16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CF56C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996.12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AC751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1020.79 </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666B5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1046.</w:t>
            </w:r>
            <w:r>
              <w:rPr>
                <w:rFonts w:hint="eastAsia" w:ascii="Times New Roman" w:hAnsi="Times New Roman" w:eastAsia="仿宋" w:cs="Times New Roman"/>
                <w:b w:val="0"/>
                <w:bCs w:val="0"/>
                <w:color w:val="000000"/>
                <w:sz w:val="15"/>
                <w:szCs w:val="15"/>
                <w:lang w:val="en-US" w:eastAsia="zh-CN"/>
              </w:rPr>
              <w:t>2</w:t>
            </w:r>
            <w:r>
              <w:rPr>
                <w:rFonts w:hint="default" w:ascii="Times New Roman" w:hAnsi="Times New Roman" w:eastAsia="仿宋" w:cs="Times New Roman"/>
                <w:b w:val="0"/>
                <w:bCs w:val="0"/>
                <w:color w:val="000000"/>
                <w:sz w:val="15"/>
                <w:szCs w:val="15"/>
                <w:lang w:val="en-US" w:eastAsia="zh-CN"/>
              </w:rPr>
              <w:t xml:space="preserve">1 </w:t>
            </w:r>
          </w:p>
        </w:tc>
      </w:tr>
      <w:tr w14:paraId="2F679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8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56796">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eastAsia" w:ascii="Times New Roman" w:hAnsi="Times New Roman" w:eastAsia="仿宋" w:cs="Times New Roman"/>
                <w:b w:val="0"/>
                <w:bCs w:val="0"/>
                <w:color w:val="000000"/>
                <w:sz w:val="15"/>
                <w:szCs w:val="15"/>
                <w:lang w:val="en-US" w:eastAsia="zh-CN"/>
              </w:rPr>
              <w:t>资金占用</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6F2CE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618DC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2532E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FACF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B72E9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D99D6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BE800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B16AB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06D4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F191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49A4C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E94D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B37B7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F4D58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CF5F6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79685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AFF1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07587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000E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C2FB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7B570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r>
      <w:tr w14:paraId="43D10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5D41E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1</w:t>
            </w:r>
          </w:p>
        </w:tc>
        <w:tc>
          <w:tcPr>
            <w:tcW w:w="3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F888E1">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eastAsia" w:ascii="Times New Roman" w:hAnsi="Times New Roman" w:eastAsia="仿宋" w:cs="Times New Roman"/>
                <w:b w:val="0"/>
                <w:bCs w:val="0"/>
                <w:color w:val="000000"/>
                <w:sz w:val="15"/>
                <w:szCs w:val="15"/>
                <w:lang w:val="en-US" w:eastAsia="zh-CN"/>
              </w:rPr>
              <w:t>项目建设投资</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EC0381">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9207.18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FFBF7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9207.18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CADF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3448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7B69B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EB40FE">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C47F5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7AF6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8B21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01481D">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465FC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A62F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EED93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38F25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52430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9C87D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D477C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EE492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AB701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4BCB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9A9E0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r>
      <w:tr w14:paraId="41CE3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9378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BA5989">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eastAsia" w:ascii="Times New Roman" w:hAnsi="Times New Roman" w:eastAsia="仿宋" w:cs="Times New Roman"/>
                <w:b w:val="0"/>
                <w:bCs w:val="0"/>
                <w:color w:val="000000"/>
                <w:sz w:val="15"/>
                <w:szCs w:val="15"/>
                <w:lang w:val="en-US" w:eastAsia="zh-CN"/>
              </w:rPr>
              <w:t>发行费</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B257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 7.00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6B8F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 7.00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1A6F3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05E2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208C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B736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1626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A7F0F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4DE4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820E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3B677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21C83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9BF961">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9F1A5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1D380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ECEC8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F1347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EDB6BF">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AA8D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AEB5E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E2543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r>
      <w:tr w14:paraId="061C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44196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3</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86253">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lang w:val="en-US" w:eastAsia="zh-CN"/>
              </w:rPr>
            </w:pPr>
            <w:r>
              <w:rPr>
                <w:rFonts w:hint="eastAsia" w:ascii="Times New Roman" w:hAnsi="Times New Roman" w:eastAsia="仿宋" w:cs="Times New Roman"/>
                <w:b w:val="0"/>
                <w:bCs w:val="0"/>
                <w:color w:val="000000"/>
                <w:sz w:val="15"/>
                <w:szCs w:val="15"/>
                <w:lang w:val="en-US" w:eastAsia="zh-CN"/>
              </w:rPr>
              <w:t>归还本金</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E1BDAC">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7000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D5550D">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1D9102">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12EAA">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FEBAD">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BEBF5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7E867">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7B68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1975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D90D6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A94C0">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9E6A6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4119B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63EE95">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76258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78760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AD93A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EA199">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0B159D">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3CE9B">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ED11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7000</w:t>
            </w:r>
          </w:p>
        </w:tc>
      </w:tr>
      <w:tr w14:paraId="351E9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93254">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rPr>
            </w:pPr>
            <w:r>
              <w:rPr>
                <w:rFonts w:hint="default" w:ascii="Times New Roman" w:hAnsi="Times New Roman" w:eastAsia="仿宋" w:cs="Times New Roman"/>
                <w:b w:val="0"/>
                <w:bCs w:val="0"/>
                <w:color w:val="000000"/>
                <w:sz w:val="15"/>
                <w:szCs w:val="15"/>
                <w:lang w:val="en-US" w:eastAsia="zh-CN"/>
              </w:rPr>
              <w:t>4</w:t>
            </w:r>
          </w:p>
        </w:tc>
        <w:tc>
          <w:tcPr>
            <w:tcW w:w="3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62C8B0">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归还利息</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55091">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4900.00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6F5EA">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48C4EC">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579917">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15419">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BBA04">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0B0371">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A499F">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A8CD41">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7376A">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3E559C">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2B3B4">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010B7">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846AD">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57B419">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B48800">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48B49A">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7824FE">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D7EC1">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DD9422">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AD55D7">
            <w:pPr>
              <w:spacing w:before="0" w:beforeLines="0" w:after="0" w:afterLines="0" w:line="240" w:lineRule="auto"/>
              <w:ind w:left="0" w:leftChars="0"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245.00</w:t>
            </w:r>
          </w:p>
        </w:tc>
      </w:tr>
      <w:tr w14:paraId="523F1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8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F5C884">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资金占用小计</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D5938B">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21,114.18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48D882">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9,459.18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0E2EC1">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5DCB72">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59F7F3">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A397CD">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6A4A2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8154B4">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925024">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3EDC4">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A98280">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DEA7C9">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B94E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FF5D5E">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9D4F85">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7F23C4">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58B1B">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4C525">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73F0EB">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8E7B5E">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245.00 </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C7F38C">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7245.00 </w:t>
            </w:r>
          </w:p>
        </w:tc>
      </w:tr>
      <w:tr w14:paraId="603F1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8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8604CE">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当年资金结余</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73A30">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4334.86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62C45C">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 -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B6561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319.18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463EB3">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377.05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74C5C4">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437.89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73F5D">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501.81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64BD49">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524.22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9D210D">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544.40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ABC7C6">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540.62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0A6EA">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558.98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42AA25">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577.90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73EE3D">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597.38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A1B60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617.44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4BB9B6">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638.11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76A5AE">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659.39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7BCF4D">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681.32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76A4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703.90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078AA">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727.16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DE9BF1">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751.12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05ECDC">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775.79 </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455F8D">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-6198.79 </w:t>
            </w:r>
          </w:p>
        </w:tc>
      </w:tr>
      <w:tr w14:paraId="029BC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8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AF479">
            <w:pPr>
              <w:spacing w:before="0" w:beforeLines="0" w:after="0" w:afterLines="0" w:line="240" w:lineRule="auto"/>
              <w:ind w:firstLine="0" w:firstLineChars="0"/>
              <w:jc w:val="center"/>
              <w:rPr>
                <w:rFonts w:hint="eastAsia" w:ascii="Times New Roman" w:hAnsi="Times New Roman" w:eastAsia="仿宋" w:cs="Times New Roman"/>
                <w:b w:val="0"/>
                <w:bCs w:val="0"/>
                <w:color w:val="000000"/>
                <w:sz w:val="15"/>
                <w:szCs w:val="15"/>
              </w:rPr>
            </w:pPr>
            <w:r>
              <w:rPr>
                <w:rFonts w:hint="eastAsia" w:ascii="Times New Roman" w:hAnsi="Times New Roman" w:eastAsia="仿宋" w:cs="Times New Roman"/>
                <w:b w:val="0"/>
                <w:bCs w:val="0"/>
                <w:color w:val="000000"/>
                <w:sz w:val="15"/>
                <w:szCs w:val="15"/>
                <w:lang w:val="en-US" w:eastAsia="zh-CN"/>
              </w:rPr>
              <w:t>期末累计资金结余</w:t>
            </w:r>
          </w:p>
        </w:tc>
        <w:tc>
          <w:tcPr>
            <w:tcW w:w="23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A46F58">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5A49E3">
            <w:pPr>
              <w:spacing w:before="0" w:beforeLines="0" w:after="0" w:afterLines="0" w:line="240" w:lineRule="auto"/>
              <w:ind w:firstLine="0" w:firstLineChars="0"/>
              <w:jc w:val="center"/>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 -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4FF889">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319.18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862765">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696.23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CC3F63">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1134.12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1449F4">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1635.93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D6E2B">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2160.15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F2A12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2704.55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F1E83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3245.17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DADACE">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3804.15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3283C">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4382.05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A422C1">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4979.43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75B214">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5596.87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96A816">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6234.97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F2891C">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6894.37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8B141">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7575.68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2CFB66">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8279.58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CB0312">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9006.74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6FBFF8">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9757.86 </w:t>
            </w:r>
          </w:p>
        </w:tc>
        <w:tc>
          <w:tcPr>
            <w:tcW w:w="2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10902A">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10533.65 </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A84B37">
            <w:pPr>
              <w:spacing w:before="0" w:beforeLines="0" w:after="0" w:afterLines="0" w:line="240" w:lineRule="auto"/>
              <w:ind w:firstLine="0" w:firstLineChars="0"/>
              <w:jc w:val="both"/>
              <w:rPr>
                <w:rFonts w:hint="default" w:ascii="Times New Roman" w:hAnsi="Times New Roman" w:eastAsia="仿宋" w:cs="Times New Roman"/>
                <w:b w:val="0"/>
                <w:bCs w:val="0"/>
                <w:color w:val="000000"/>
                <w:sz w:val="15"/>
                <w:szCs w:val="15"/>
                <w:lang w:val="en-US" w:eastAsia="zh-CN"/>
              </w:rPr>
            </w:pPr>
            <w:r>
              <w:rPr>
                <w:rFonts w:hint="default" w:ascii="Times New Roman" w:hAnsi="Times New Roman" w:eastAsia="仿宋" w:cs="Times New Roman"/>
                <w:b w:val="0"/>
                <w:bCs w:val="0"/>
                <w:color w:val="000000"/>
                <w:sz w:val="15"/>
                <w:szCs w:val="15"/>
                <w:lang w:val="en-US" w:eastAsia="zh-CN"/>
              </w:rPr>
              <w:t xml:space="preserve">4334.86 </w:t>
            </w:r>
          </w:p>
        </w:tc>
      </w:tr>
    </w:tbl>
    <w:p w14:paraId="3DB52934">
      <w:pPr>
        <w:spacing w:before="0" w:after="0" w:line="240" w:lineRule="auto"/>
        <w:jc w:val="both"/>
        <w:rPr>
          <w:rFonts w:hint="eastAsia" w:ascii="仿宋" w:hAnsi="仿宋" w:eastAsia="仿宋" w:cs="仿宋"/>
          <w:sz w:val="24"/>
          <w:szCs w:val="24"/>
          <w:lang w:val="en-US" w:eastAsia="zh-CN"/>
        </w:rPr>
        <w:sectPr>
          <w:pgSz w:w="16838" w:h="11906" w:orient="landscape"/>
          <w:pgMar w:top="1803" w:right="567" w:bottom="1803" w:left="567" w:header="851" w:footer="992" w:gutter="0"/>
          <w:pgNumType w:fmt="decimal"/>
          <w:cols w:space="0" w:num="1"/>
          <w:docGrid w:type="lines" w:linePitch="332" w:charSpace="0"/>
        </w:sectPr>
      </w:pPr>
    </w:p>
    <w:p w14:paraId="6080F8E3">
      <w:pPr>
        <w:numPr>
          <w:ilvl w:val="0"/>
          <w:numId w:val="3"/>
        </w:numPr>
        <w:outlineLvl w:val="0"/>
        <w:rPr>
          <w:rFonts w:hint="eastAsia" w:ascii="仿宋" w:hAnsi="仿宋" w:eastAsia="仿宋" w:cs="仿宋"/>
          <w:b/>
          <w:bCs/>
          <w:sz w:val="24"/>
          <w:szCs w:val="24"/>
        </w:rPr>
      </w:pPr>
      <w:r>
        <w:rPr>
          <w:rFonts w:hint="eastAsia" w:ascii="仿宋" w:hAnsi="仿宋" w:eastAsia="仿宋" w:cs="仿宋"/>
          <w:b/>
          <w:bCs/>
          <w:sz w:val="24"/>
          <w:szCs w:val="24"/>
        </w:rPr>
        <w:t>项目绩效目标</w:t>
      </w:r>
    </w:p>
    <w:p w14:paraId="38B3C723">
      <w:pPr>
        <w:pStyle w:val="7"/>
        <w:ind w:firstLine="480" w:firstLineChars="200"/>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目标1：完成项目建设施工道路改造791.355m，雨水管网改造0.81km，污水管网改造1.63km，街区建筑改造约3.74万㎡，街区景观改造若干内容（含新增街区构造物、小品、标识标牌、导向设计、城市家具等）；室内展成设计约0.54万㎡；增加划线停车位132个。</w:t>
      </w:r>
    </w:p>
    <w:p w14:paraId="3070AB1C">
      <w:pPr>
        <w:pStyle w:val="7"/>
        <w:ind w:firstLine="480" w:firstLineChars="200"/>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目标2：在2025年8月31日前完成项目竣工验收。</w:t>
      </w:r>
    </w:p>
    <w:p w14:paraId="7EE45A43">
      <w:pPr>
        <w:pStyle w:val="7"/>
        <w:ind w:firstLine="480" w:firstLineChars="200"/>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目标3：债券存续期内实现年度收支平衡和总体收支平衡。</w:t>
      </w:r>
    </w:p>
    <w:p w14:paraId="79F8E5CC">
      <w:pPr>
        <w:pStyle w:val="7"/>
        <w:ind w:firstLine="480" w:firstLineChars="200"/>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目标4：贯彻落实国家政策方针，补齐当地旅游基础设施短板，增强景区内外联动，带动周边土地增值，促进康定市城市经济发展。</w:t>
      </w:r>
    </w:p>
    <w:p w14:paraId="102400D3">
      <w:pPr>
        <w:pStyle w:val="2"/>
        <w:bidi w:val="0"/>
        <w:rPr>
          <w:rFonts w:hint="eastAsia"/>
          <w:sz w:val="24"/>
          <w:szCs w:val="24"/>
        </w:rPr>
      </w:pPr>
      <w:r>
        <w:rPr>
          <w:rFonts w:hint="eastAsia"/>
          <w:sz w:val="24"/>
          <w:szCs w:val="24"/>
        </w:rPr>
        <w:t>六、潜在影响项目的风险评估</w:t>
      </w:r>
    </w:p>
    <w:p w14:paraId="6BEF8980">
      <w:pPr>
        <w:pStyle w:val="3"/>
        <w:keepNext/>
        <w:keepLines/>
        <w:pageBreakBefore w:val="0"/>
        <w:widowControl w:val="0"/>
        <w:kinsoku/>
        <w:wordWrap/>
        <w:overflowPunct/>
        <w:topLinePunct w:val="0"/>
        <w:autoSpaceDE w:val="0"/>
        <w:autoSpaceDN w:val="0"/>
        <w:bidi w:val="0"/>
        <w:adjustRightInd/>
        <w:snapToGrid/>
        <w:spacing w:before="0"/>
        <w:ind w:firstLine="482" w:firstLineChars="200"/>
        <w:textAlignment w:val="auto"/>
        <w:rPr>
          <w:rFonts w:hint="eastAsia"/>
          <w:sz w:val="24"/>
          <w:szCs w:val="24"/>
          <w:lang w:val="en-US" w:eastAsia="zh-CN"/>
        </w:rPr>
      </w:pPr>
      <w:bookmarkStart w:id="46" w:name="_Toc295_WPSOffice_Level3"/>
      <w:r>
        <w:rPr>
          <w:rFonts w:hint="eastAsia"/>
          <w:sz w:val="24"/>
          <w:szCs w:val="24"/>
          <w:lang w:val="en-US" w:eastAsia="zh-CN"/>
        </w:rPr>
        <w:t>（一）</w:t>
      </w:r>
      <w:bookmarkEnd w:id="46"/>
      <w:r>
        <w:rPr>
          <w:rFonts w:hint="eastAsia"/>
          <w:sz w:val="24"/>
          <w:szCs w:val="24"/>
          <w:lang w:val="en-US" w:eastAsia="zh-CN"/>
        </w:rPr>
        <w:t>生态环境风险</w:t>
      </w:r>
    </w:p>
    <w:p w14:paraId="17D596AF">
      <w:pPr>
        <w:keepNext/>
        <w:keepLines/>
        <w:pageBreakBefore w:val="0"/>
        <w:widowControl w:val="0"/>
        <w:kinsoku/>
        <w:wordWrap/>
        <w:overflowPunct/>
        <w:topLinePunct w:val="0"/>
        <w:autoSpaceDE w:val="0"/>
        <w:autoSpaceDN w:val="0"/>
        <w:bidi w:val="0"/>
        <w:adjustRightInd/>
        <w:snapToGrid/>
        <w:spacing w:before="0"/>
        <w:ind w:firstLine="482" w:firstLineChars="200"/>
        <w:textAlignment w:val="auto"/>
        <w:outlineLvl w:val="9"/>
        <w:rPr>
          <w:rFonts w:hint="eastAsia" w:ascii="仿宋" w:hAnsi="仿宋" w:eastAsia="仿宋" w:cs="仿宋"/>
          <w:b w:val="0"/>
          <w:bCs w:val="0"/>
          <w:color w:val="auto"/>
          <w:spacing w:val="-1"/>
          <w:sz w:val="24"/>
          <w:szCs w:val="24"/>
          <w:lang w:val="en-US" w:eastAsia="zh-CN" w:bidi="zh-CN"/>
        </w:rPr>
      </w:pPr>
      <w:r>
        <w:rPr>
          <w:rFonts w:hint="eastAsia" w:ascii="仿宋" w:hAnsi="仿宋" w:eastAsia="仿宋" w:cs="仿宋"/>
          <w:b/>
          <w:bCs/>
          <w:color w:val="auto"/>
          <w:sz w:val="24"/>
          <w:szCs w:val="24"/>
          <w:lang w:val="en-US" w:eastAsia="zh-CN" w:bidi="zh-CN"/>
        </w:rPr>
        <w:t>风险识别：</w:t>
      </w:r>
      <w:r>
        <w:rPr>
          <w:rFonts w:hint="eastAsia" w:ascii="仿宋" w:hAnsi="仿宋" w:eastAsia="仿宋" w:cs="仿宋"/>
          <w:b w:val="0"/>
          <w:bCs w:val="0"/>
          <w:color w:val="auto"/>
          <w:spacing w:val="-1"/>
          <w:sz w:val="24"/>
          <w:szCs w:val="24"/>
          <w:lang w:val="en-US" w:eastAsia="zh-CN" w:bidi="zh-CN"/>
        </w:rPr>
        <w:t>生态环境风险主要指在建设阶段，老旧街区改造存在多重生态环境风险。施工产生的扬尘、机械尾气造成大气污染；施工废水与生活污水未经处理排放，威胁水体环境；各类施工设备和车辆引发噪声污染，干扰周边居民生活；建筑垃圾随意堆放、生活垃圾清理不及时，导致固体废物污染；拆除建筑与清理植被，破坏生态景观，影响生物多样性及土壤结构。运营阶段，风险依然存在。商业活动繁荣使能源消耗激增，若以传统化石能源为主，会加剧气候变暖；人流量和商业活动带来垃圾量大幅增长，处理不善会污染土壤、水体和空气；污水排放量增多，污水处理能力不足则会导致水质恶化；景观设施维护不当，易引发水体富营养化等问题。</w:t>
      </w:r>
    </w:p>
    <w:p w14:paraId="2F6144BC">
      <w:pPr>
        <w:keepNext w:val="0"/>
        <w:keepLines w:val="0"/>
        <w:pageBreakBefore w:val="0"/>
        <w:widowControl w:val="0"/>
        <w:kinsoku/>
        <w:wordWrap/>
        <w:overflowPunct/>
        <w:topLinePunct w:val="0"/>
        <w:autoSpaceDE w:val="0"/>
        <w:autoSpaceDN w:val="0"/>
        <w:bidi w:val="0"/>
        <w:adjustRightInd/>
        <w:snapToGrid/>
        <w:spacing w:line="360" w:lineRule="exact"/>
        <w:ind w:firstLine="482" w:firstLineChars="200"/>
        <w:textAlignment w:val="auto"/>
        <w:rPr>
          <w:rFonts w:hint="eastAsia" w:ascii="仿宋" w:hAnsi="仿宋" w:eastAsia="仿宋" w:cs="仿宋"/>
          <w:b w:val="0"/>
          <w:bCs w:val="0"/>
          <w:color w:val="C00000"/>
          <w:spacing w:val="-1"/>
          <w:sz w:val="24"/>
          <w:szCs w:val="24"/>
          <w:lang w:val="en-US" w:eastAsia="zh-CN" w:bidi="zh-CN"/>
        </w:rPr>
      </w:pPr>
      <w:r>
        <w:rPr>
          <w:rFonts w:hint="eastAsia" w:ascii="仿宋" w:hAnsi="仿宋" w:eastAsia="仿宋" w:cs="仿宋"/>
          <w:b/>
          <w:bCs/>
          <w:color w:val="auto"/>
          <w:sz w:val="24"/>
          <w:szCs w:val="24"/>
          <w:lang w:val="en-US" w:eastAsia="zh-CN" w:bidi="zh-CN"/>
        </w:rPr>
        <w:t>风险控制措施：</w:t>
      </w:r>
      <w:r>
        <w:rPr>
          <w:rFonts w:hint="eastAsia" w:ascii="仿宋" w:hAnsi="仿宋" w:eastAsia="仿宋" w:cs="仿宋"/>
          <w:b w:val="0"/>
          <w:bCs w:val="0"/>
          <w:color w:val="auto"/>
          <w:spacing w:val="-1"/>
          <w:sz w:val="24"/>
          <w:szCs w:val="24"/>
          <w:lang w:val="en-US" w:eastAsia="zh-CN" w:bidi="zh-CN"/>
        </w:rPr>
        <w:t>针对建设阶段风险，可采取施工现场设置围挡、定时洒水降尘，选用清洁能源车辆与低排放施工机械等措施，减少大气污染；建设废水处理设施，确保施工废水与生活污水达标排放，保护水体；合理规划施工时间，采用低噪声设备并配备隔音措施，降低噪声干扰；对建筑垃圾分类回收，及时清理生活垃圾，解决固体废物问题；尽可能保留原有生态景观，对受损植被进行恢复，采用环保施工方式保护土壤。在运营阶段，推广清洁能源，对建筑进行节能改造，提升能源利用效率；完善垃圾分类设施，加强宣传教育，优化垃圾处理流程；升级污水处理系统，提高处理能力；定期维护景观设施，防止水体富营养化，以此降低生态环境风险。</w:t>
      </w:r>
      <w:r>
        <w:rPr>
          <w:rFonts w:hint="eastAsia" w:ascii="仿宋" w:hAnsi="仿宋" w:eastAsia="仿宋" w:cs="仿宋"/>
          <w:b w:val="0"/>
          <w:bCs w:val="0"/>
          <w:color w:val="C00000"/>
          <w:spacing w:val="-1"/>
          <w:sz w:val="24"/>
          <w:szCs w:val="24"/>
          <w:lang w:val="en-US" w:eastAsia="zh-CN" w:bidi="zh-CN"/>
        </w:rPr>
        <w:t xml:space="preserve"> </w:t>
      </w:r>
    </w:p>
    <w:p w14:paraId="48E4742B">
      <w:pPr>
        <w:pStyle w:val="3"/>
        <w:keepNext/>
        <w:keepLines/>
        <w:pageBreakBefore w:val="0"/>
        <w:widowControl w:val="0"/>
        <w:kinsoku/>
        <w:wordWrap/>
        <w:overflowPunct/>
        <w:topLinePunct w:val="0"/>
        <w:autoSpaceDE w:val="0"/>
        <w:autoSpaceDN w:val="0"/>
        <w:bidi w:val="0"/>
        <w:adjustRightInd/>
        <w:snapToGrid/>
        <w:spacing w:before="0"/>
        <w:ind w:firstLine="482" w:firstLineChars="200"/>
        <w:textAlignment w:val="auto"/>
        <w:rPr>
          <w:rFonts w:hint="default"/>
          <w:sz w:val="24"/>
          <w:szCs w:val="24"/>
          <w:lang w:val="en-US" w:eastAsia="zh-CN"/>
        </w:rPr>
      </w:pPr>
      <w:r>
        <w:rPr>
          <w:rFonts w:hint="eastAsia"/>
          <w:sz w:val="24"/>
          <w:szCs w:val="24"/>
          <w:lang w:val="en-US" w:eastAsia="zh-CN"/>
        </w:rPr>
        <w:t>（二）政府管理风险</w:t>
      </w:r>
    </w:p>
    <w:p w14:paraId="4A59BF2A">
      <w:pPr>
        <w:bidi w:val="0"/>
        <w:ind w:firstLine="478" w:firstLineChars="200"/>
        <w:rPr>
          <w:rFonts w:hint="default"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风险识别：</w:t>
      </w:r>
      <w:r>
        <w:rPr>
          <w:rFonts w:hint="eastAsia" w:ascii="仿宋" w:hAnsi="仿宋" w:eastAsia="仿宋" w:cs="仿宋"/>
          <w:color w:val="auto"/>
          <w:spacing w:val="-1"/>
          <w:sz w:val="24"/>
          <w:szCs w:val="24"/>
          <w:lang w:val="en-US" w:eastAsia="zh-CN"/>
        </w:rPr>
        <w:t>政府管理风险主要指在项目建设过程中，政府可能面临规划不合理的风险，如对街区功能定位不准、改造方案缺乏前瞻性，导致资源浪费或无法满足实际需求。项目审批流程繁琐或监管不力，易出现违规建设、工期拖延等问题。资金管理上，可能存在专项债资金分配不均衡、使用效率低下，甚至出现挪用、截留等情况。在运营阶段，政府对街区的商业运营监管不到位，可能引发恶性竞争、市场秩序混乱等问题。公共服务配套设施的维护管理不善，会影响居民和商户的体验。此外，政策的不稳定或调整不及时，也可能使项目的预期收益受损，降低投资者信心。</w:t>
      </w:r>
    </w:p>
    <w:p w14:paraId="6517D42F">
      <w:pPr>
        <w:bidi w:val="0"/>
        <w:ind w:firstLine="478" w:firstLineChars="200"/>
        <w:rPr>
          <w:rFonts w:hint="eastAsia"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风险控制措施：</w:t>
      </w:r>
      <w:r>
        <w:rPr>
          <w:rFonts w:hint="eastAsia" w:ascii="仿宋" w:hAnsi="仿宋" w:eastAsia="仿宋" w:cs="仿宋"/>
          <w:color w:val="auto"/>
          <w:spacing w:val="-1"/>
          <w:sz w:val="24"/>
          <w:szCs w:val="24"/>
          <w:lang w:val="en-US" w:eastAsia="zh-CN"/>
        </w:rPr>
        <w:t>针对建设阶段风险，政府应加强前期规划，深入调研街区现状和需求，科学制定改造方案，并组织专家进行论证。简化项目审批流程，明确各部门职责，加强对建设过程的监督检查，确保项目按时按质完成。建立健全资金管理制度，合理分配专项债资金，加强对资金使用的审计和监管，防止资金滥用。在运营阶段，政府要完善商业运营监管机制，制定行业规范，维护市场秩序。加大对公共服务配套设施的维护投入，建立长效管理机制，及时解决设施老化、损坏等问题。同时，保持政策的稳定性和连续性，根据实际情况及时调整优化政策，加强与投资者的沟通，增强市场信心，保障项目的可持续运营。</w:t>
      </w:r>
    </w:p>
    <w:p w14:paraId="7903F343">
      <w:pPr>
        <w:pStyle w:val="3"/>
        <w:keepNext/>
        <w:keepLines/>
        <w:pageBreakBefore w:val="0"/>
        <w:widowControl w:val="0"/>
        <w:kinsoku/>
        <w:wordWrap/>
        <w:overflowPunct/>
        <w:topLinePunct w:val="0"/>
        <w:autoSpaceDE w:val="0"/>
        <w:autoSpaceDN w:val="0"/>
        <w:bidi w:val="0"/>
        <w:adjustRightInd/>
        <w:snapToGrid/>
        <w:spacing w:before="0"/>
        <w:ind w:firstLine="482" w:firstLineChars="200"/>
        <w:textAlignment w:val="auto"/>
        <w:rPr>
          <w:rFonts w:hint="eastAsia"/>
          <w:sz w:val="24"/>
          <w:szCs w:val="24"/>
          <w:lang w:val="en-US" w:eastAsia="zh-CN"/>
        </w:rPr>
      </w:pPr>
      <w:r>
        <w:rPr>
          <w:rFonts w:hint="eastAsia"/>
          <w:sz w:val="24"/>
          <w:szCs w:val="24"/>
          <w:lang w:val="en-US" w:eastAsia="zh-CN"/>
        </w:rPr>
        <w:t>（三）设计风险</w:t>
      </w:r>
    </w:p>
    <w:p w14:paraId="479A2CD8">
      <w:pPr>
        <w:bidi w:val="0"/>
        <w:ind w:firstLine="478" w:firstLineChars="200"/>
        <w:rPr>
          <w:rFonts w:hint="eastAsia"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风险识别：</w:t>
      </w:r>
      <w:r>
        <w:rPr>
          <w:rFonts w:hint="eastAsia" w:ascii="仿宋" w:hAnsi="仿宋" w:eastAsia="仿宋" w:cs="仿宋"/>
          <w:color w:val="auto"/>
          <w:spacing w:val="-1"/>
          <w:sz w:val="24"/>
          <w:szCs w:val="24"/>
          <w:lang w:val="en-US" w:eastAsia="zh-CN"/>
        </w:rPr>
        <w:t>设计风险主要指在项目建设中，设计方面存在诸多风险。功能设计上，可能对老旧街区未来的商业、居住等功能需求预估不足，导致改造后的空间无法满足实际使用，如停车位规划过少、商业空间布局不合理等。此外，对老旧建筑的结构特点和安全状况评估不准确，可能在改造施工中引发安全事故。景观设计若缺乏对街区历史文化特色的挖掘和传承，改造后的街区将失去独特韵味，难以吸引居民和游客。在运营阶段，设计未充分考虑后期维护成本和难度，如选用昂贵且不易维护的材料和设施，会增加运营负担。而且，若设计不能适应未来发展变化，如未预留智能化设施的安装空间，将使街区在运营中逐渐落后，降低竞争力。</w:t>
      </w:r>
    </w:p>
    <w:p w14:paraId="3168D79A">
      <w:pPr>
        <w:bidi w:val="0"/>
        <w:ind w:firstLine="478" w:firstLineChars="200"/>
        <w:rPr>
          <w:rFonts w:hint="eastAsia"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风险控制措施：</w:t>
      </w:r>
      <w:r>
        <w:rPr>
          <w:rFonts w:hint="eastAsia" w:ascii="仿宋" w:hAnsi="仿宋" w:eastAsia="仿宋" w:cs="仿宋"/>
          <w:color w:val="auto"/>
          <w:spacing w:val="-1"/>
          <w:sz w:val="24"/>
          <w:szCs w:val="24"/>
          <w:lang w:val="en-US" w:eastAsia="zh-CN"/>
        </w:rPr>
        <w:t>针对建设阶段的设计风险，需在前期进行充分的调研和分析，通过问卷调查、实地走访等方式，精准把握居民和商户的需求，合理规划功能布局。聘请专业的结构工程师对老旧建筑进行详细检测和评估，制定科学的改造方案，确保施工安全。在景观设计上，深入挖掘街区的历史文化元素，融入到建筑风格、公共空间等设计中，打造独特的街区风貌。对于运营阶段的设计风险，要在设计时充分考虑后期维护的便利性和经济性，选择耐用、易维护的材料和设施。同时，秉持前瞻性设计理念，预留足够的空间和接口，为未来智能化、信息化设施的升级改造创造条件，以提高街区的可持续运营能力。</w:t>
      </w:r>
    </w:p>
    <w:p w14:paraId="633FB3E1">
      <w:pPr>
        <w:pStyle w:val="3"/>
        <w:keepNext/>
        <w:keepLines/>
        <w:pageBreakBefore w:val="0"/>
        <w:widowControl w:val="0"/>
        <w:kinsoku/>
        <w:wordWrap/>
        <w:overflowPunct/>
        <w:topLinePunct w:val="0"/>
        <w:autoSpaceDE w:val="0"/>
        <w:autoSpaceDN w:val="0"/>
        <w:bidi w:val="0"/>
        <w:adjustRightInd/>
        <w:snapToGrid/>
        <w:spacing w:before="0"/>
        <w:ind w:firstLine="482" w:firstLineChars="200"/>
        <w:textAlignment w:val="auto"/>
        <w:rPr>
          <w:rFonts w:hint="eastAsia"/>
          <w:sz w:val="24"/>
          <w:szCs w:val="24"/>
          <w:lang w:val="en-US" w:eastAsia="zh-CN"/>
        </w:rPr>
      </w:pPr>
      <w:bookmarkStart w:id="47" w:name="_Toc8985"/>
      <w:bookmarkStart w:id="48" w:name="_Toc21862"/>
      <w:r>
        <w:rPr>
          <w:rFonts w:hint="eastAsia"/>
          <w:sz w:val="24"/>
          <w:szCs w:val="24"/>
          <w:lang w:val="en-US" w:eastAsia="zh-CN"/>
        </w:rPr>
        <w:t>（四）</w:t>
      </w:r>
      <w:bookmarkEnd w:id="47"/>
      <w:bookmarkEnd w:id="48"/>
      <w:r>
        <w:rPr>
          <w:rFonts w:hint="eastAsia"/>
          <w:sz w:val="24"/>
          <w:szCs w:val="24"/>
          <w:lang w:val="en-US" w:eastAsia="zh-CN"/>
        </w:rPr>
        <w:t>施工风险</w:t>
      </w:r>
    </w:p>
    <w:p w14:paraId="610D66B7">
      <w:pPr>
        <w:bidi w:val="0"/>
        <w:ind w:firstLine="478" w:firstLineChars="200"/>
        <w:rPr>
          <w:rFonts w:hint="eastAsia"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风险识别：</w:t>
      </w:r>
      <w:r>
        <w:rPr>
          <w:rFonts w:hint="eastAsia" w:ascii="仿宋" w:hAnsi="仿宋" w:eastAsia="仿宋" w:cs="仿宋"/>
          <w:color w:val="auto"/>
          <w:spacing w:val="-1"/>
          <w:sz w:val="24"/>
          <w:szCs w:val="24"/>
          <w:lang w:val="en-US" w:eastAsia="zh-CN"/>
        </w:rPr>
        <w:t>施工风险主要指在施工过程中，施工安全方面，老旧街区建筑结构老化，施工时易发生坍塌、高空坠落等事故，且街区内人员密集，增加了安全管理难度。施工质量风险也不容忽视，部分施工单位可能为追求进度或降低成本，偷工减料，使用不合格材料，导致工程质量不达标。此外，施工进度常受天气、周边居民干扰等因素影响，可能出现工期延误，进而增加项目成本。同时，施工过程中的噪声、扬尘、污水排放等会对周边环境造成污染，引发居民投诉，影响项目推进。在运营阶段，施工遗留的隐蔽工程质量问题，可能在后期暴露，增加维修成本和安全隐患。</w:t>
      </w:r>
    </w:p>
    <w:p w14:paraId="32034B73">
      <w:pPr>
        <w:bidi w:val="0"/>
        <w:ind w:firstLine="478" w:firstLineChars="200"/>
        <w:rPr>
          <w:rFonts w:hint="eastAsia"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风险控制措施：</w:t>
      </w:r>
      <w:r>
        <w:rPr>
          <w:rFonts w:hint="eastAsia" w:ascii="仿宋" w:hAnsi="仿宋" w:eastAsia="仿宋" w:cs="仿宋"/>
          <w:color w:val="auto"/>
          <w:spacing w:val="-1"/>
          <w:sz w:val="24"/>
          <w:szCs w:val="24"/>
          <w:lang w:val="en-US" w:eastAsia="zh-CN"/>
        </w:rPr>
        <w:t>为应对施工风险，需采取一系列有效措施。安全管理上，施工前对老旧建筑进行全面结构检测，制定针对性的安全施工方案，加强对施工人员的安全教育和培训，设置明显的安全警示标识。质量把控方面，严格审查施工单位资质，加强对材料和施工工艺的监管，建立质量追溯体系，确保工程质量。合理安排施工进度，制定详细的施工计划，充分考虑天气等不利因素，提前做好应对预案，加强与周边居民的沟通协调，争取理解与支持。针对环境污染问题，采取有效的降尘、降噪、污水处理措施，减少对周边环境的影响。对于运营阶段可能出现的施工遗留问题，在项目验收时进行严格的隐蔽工程检查，要求施工单位提供质量保修承诺，降低后期运营风险。</w:t>
      </w:r>
    </w:p>
    <w:p w14:paraId="052B1C3F">
      <w:pPr>
        <w:pStyle w:val="3"/>
        <w:keepNext/>
        <w:keepLines/>
        <w:pageBreakBefore w:val="0"/>
        <w:widowControl w:val="0"/>
        <w:kinsoku/>
        <w:wordWrap/>
        <w:overflowPunct/>
        <w:topLinePunct w:val="0"/>
        <w:autoSpaceDE w:val="0"/>
        <w:autoSpaceDN w:val="0"/>
        <w:bidi w:val="0"/>
        <w:adjustRightInd/>
        <w:snapToGrid/>
        <w:spacing w:before="0"/>
        <w:ind w:firstLine="482" w:firstLineChars="200"/>
        <w:textAlignment w:val="auto"/>
        <w:rPr>
          <w:rFonts w:hint="eastAsia"/>
          <w:sz w:val="24"/>
          <w:szCs w:val="24"/>
          <w:lang w:val="en-US" w:eastAsia="zh-CN"/>
        </w:rPr>
      </w:pPr>
      <w:bookmarkStart w:id="49" w:name="_Toc2589"/>
      <w:bookmarkStart w:id="50" w:name="_Toc26078"/>
      <w:r>
        <w:rPr>
          <w:rFonts w:hint="eastAsia"/>
          <w:sz w:val="24"/>
          <w:szCs w:val="24"/>
          <w:lang w:val="en-US" w:eastAsia="zh-CN"/>
        </w:rPr>
        <w:t>（五）</w:t>
      </w:r>
      <w:bookmarkEnd w:id="49"/>
      <w:bookmarkEnd w:id="50"/>
      <w:r>
        <w:rPr>
          <w:rFonts w:hint="eastAsia"/>
          <w:sz w:val="24"/>
          <w:szCs w:val="24"/>
          <w:lang w:val="en-US" w:eastAsia="zh-CN"/>
        </w:rPr>
        <w:t>供应商风险</w:t>
      </w:r>
    </w:p>
    <w:p w14:paraId="1DD57DCF">
      <w:pPr>
        <w:bidi w:val="0"/>
        <w:ind w:firstLine="478" w:firstLineChars="200"/>
        <w:rPr>
          <w:rFonts w:hint="eastAsia" w:ascii="仿宋" w:hAnsi="仿宋" w:eastAsia="仿宋" w:cs="仿宋"/>
          <w:b w:val="0"/>
          <w:bCs w:val="0"/>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风险识别：</w:t>
      </w:r>
      <w:r>
        <w:rPr>
          <w:rFonts w:hint="eastAsia" w:ascii="仿宋" w:hAnsi="仿宋" w:eastAsia="仿宋" w:cs="仿宋"/>
          <w:b w:val="0"/>
          <w:bCs w:val="0"/>
          <w:color w:val="auto"/>
          <w:spacing w:val="-1"/>
          <w:sz w:val="24"/>
          <w:szCs w:val="24"/>
          <w:lang w:val="en-US" w:eastAsia="zh-CN"/>
        </w:rPr>
        <w:t>供应商风险主要指在项目建设阶段，部分供应商可能因生产能力不足，无法按时、足量供应建筑材料、设备等物资，导致项目工期延误。一些供应商提供的产品质量不达标，如劣质的建筑钢材、防水材料等，会影响工程质量，埋下安全隐患。此外，供应商可能存在价格波动风险，在项目执行过程中，因原材料价格上涨等因素单方面提高供货价格，增加项目成本。在运营阶段，负责维护保养设备或提供服务的供应商，若服务质量不佳，如维修不及时、服务态度差等，会影响街区的正常运营和居民体验。若供应商出现财务危机或经营不善，可能中断服务，给项目带来较大困扰。</w:t>
      </w:r>
    </w:p>
    <w:p w14:paraId="2B885419">
      <w:pPr>
        <w:bidi w:val="0"/>
        <w:ind w:firstLine="478" w:firstLineChars="200"/>
        <w:rPr>
          <w:rFonts w:hint="eastAsia"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风险控制措施：</w:t>
      </w:r>
      <w:r>
        <w:rPr>
          <w:rFonts w:hint="eastAsia" w:ascii="仿宋" w:hAnsi="仿宋" w:eastAsia="仿宋" w:cs="仿宋"/>
          <w:color w:val="auto"/>
          <w:spacing w:val="-1"/>
          <w:sz w:val="24"/>
          <w:szCs w:val="24"/>
          <w:lang w:val="en-US" w:eastAsia="zh-CN"/>
        </w:rPr>
        <w:t>针对建设阶段的供应商风险，在选择供应商时，应进行严格的资质审查和实地考察，评估其生产能力、信誉状况和产品质量。与供应商签订详细、明确的合同，约定供货时间、质量标准、价格调整机制等条款，明确双方权利义务。建立供应商动态评估机制，定期对供应商的表现进行考核，一旦发现问题，及时采取措施，如要求整改或更换供应商。对于运营阶段的供应商风险，同样要在合同中明确服务标准和违约责任，加强对供应商服务过程的监督和管理。同时，与多家供应商保持联系，建立备用供应商库，以便在主供应商出现问题时，能够迅速切换，保障街区运营不受较大影响。</w:t>
      </w:r>
    </w:p>
    <w:p w14:paraId="4182ADA5">
      <w:pPr>
        <w:pStyle w:val="3"/>
        <w:keepNext/>
        <w:keepLines/>
        <w:pageBreakBefore w:val="0"/>
        <w:widowControl w:val="0"/>
        <w:numPr>
          <w:ilvl w:val="0"/>
          <w:numId w:val="4"/>
        </w:numPr>
        <w:kinsoku/>
        <w:wordWrap/>
        <w:overflowPunct/>
        <w:topLinePunct w:val="0"/>
        <w:autoSpaceDE w:val="0"/>
        <w:autoSpaceDN w:val="0"/>
        <w:bidi w:val="0"/>
        <w:adjustRightInd/>
        <w:snapToGrid/>
        <w:spacing w:before="0"/>
        <w:ind w:firstLine="482" w:firstLineChars="200"/>
        <w:textAlignment w:val="auto"/>
        <w:rPr>
          <w:rFonts w:hint="eastAsia" w:cs="宋体"/>
          <w:sz w:val="24"/>
          <w:szCs w:val="24"/>
          <w:lang w:val="en-US" w:eastAsia="zh-CN"/>
        </w:rPr>
      </w:pPr>
      <w:r>
        <w:rPr>
          <w:rFonts w:hint="eastAsia" w:cs="宋体"/>
          <w:sz w:val="24"/>
          <w:szCs w:val="24"/>
          <w:lang w:val="en-US" w:eastAsia="zh-CN"/>
        </w:rPr>
        <w:t>融资风险</w:t>
      </w:r>
    </w:p>
    <w:p w14:paraId="2500690A">
      <w:pPr>
        <w:bidi w:val="0"/>
        <w:ind w:firstLine="478" w:firstLineChars="200"/>
        <w:rPr>
          <w:rFonts w:hint="eastAsia" w:ascii="仿宋" w:hAnsi="仿宋" w:eastAsia="仿宋" w:cs="仿宋"/>
          <w:color w:val="auto"/>
          <w:spacing w:val="-1"/>
          <w:sz w:val="24"/>
          <w:szCs w:val="24"/>
          <w:lang w:val="en-US" w:eastAsia="zh-CN"/>
        </w:rPr>
      </w:pPr>
      <w:r>
        <w:rPr>
          <w:rFonts w:hint="eastAsia" w:ascii="仿宋" w:hAnsi="仿宋" w:eastAsia="仿宋" w:cs="仿宋"/>
          <w:b/>
          <w:bCs/>
          <w:color w:val="auto"/>
          <w:spacing w:val="-1"/>
          <w:sz w:val="24"/>
          <w:szCs w:val="24"/>
          <w:lang w:val="en-US" w:eastAsia="zh-CN"/>
        </w:rPr>
        <w:t>风险识别：</w:t>
      </w:r>
      <w:r>
        <w:rPr>
          <w:rFonts w:hint="eastAsia" w:ascii="仿宋" w:hAnsi="仿宋" w:eastAsia="仿宋" w:cs="仿宋"/>
          <w:color w:val="auto"/>
          <w:spacing w:val="-1"/>
          <w:sz w:val="24"/>
          <w:szCs w:val="24"/>
          <w:lang w:val="en-US" w:eastAsia="zh-CN"/>
        </w:rPr>
        <w:t>融资风险主要指在项目建设阶段，融资风险主要体现在资金筹集不足。专项债额度可能无法满足项目全部资金需求，且配套资金落实困难，导致项目建设资金链紧张，影响工程进度。融资渠道单一，过度依赖专项债，一旦专项债发行遇阻或政策调整，项目资金来源将受严重影响。利率波动也是风险因素之一，若采用浮动利率融资，市场利率上升会增加项目利息支出。在运营阶段，项目收益未达预期，无法按时足额偿还债务本息，将引发偿债风险。此外，宏观经济环境变化、金融政策收紧等，可能使再融资难度加大，影响项目后续的维护和升级。</w:t>
      </w:r>
    </w:p>
    <w:p w14:paraId="61A4901E">
      <w:pPr>
        <w:bidi w:val="0"/>
        <w:ind w:firstLine="478" w:firstLineChars="200"/>
        <w:rPr>
          <w:rFonts w:hint="eastAsia"/>
          <w:lang w:val="en-US" w:eastAsia="zh-CN"/>
        </w:rPr>
      </w:pPr>
      <w:r>
        <w:rPr>
          <w:rFonts w:hint="eastAsia" w:ascii="仿宋" w:hAnsi="仿宋" w:eastAsia="仿宋" w:cs="仿宋"/>
          <w:b/>
          <w:bCs/>
          <w:color w:val="auto"/>
          <w:spacing w:val="-1"/>
          <w:sz w:val="24"/>
          <w:szCs w:val="24"/>
          <w:lang w:val="en-US" w:eastAsia="zh-CN"/>
        </w:rPr>
        <w:t>风险控制措施：</w:t>
      </w:r>
      <w:r>
        <w:rPr>
          <w:rFonts w:hint="eastAsia" w:ascii="仿宋" w:hAnsi="仿宋" w:eastAsia="仿宋" w:cs="仿宋"/>
          <w:color w:val="auto"/>
          <w:spacing w:val="-1"/>
          <w:sz w:val="24"/>
          <w:szCs w:val="24"/>
          <w:lang w:val="en-US" w:eastAsia="zh-CN"/>
        </w:rPr>
        <w:t>针对建设阶段的融资风险，需拓宽融资渠道，除专项债外，积极争取银行贷款、引入社会资本等，实现多元化融资。提前规划资金，确保专项债与配套资金合理安排，明确资金到位时间节点。合理选择融资方式，根据市场利率走势，选择固定利率或浮动利率融资，必要时进行利率套期保值。对于运营阶段的风险，要科学评估项目收益，制定合理的收益目标和偿债计划。加强项目运营管理，提高运营效率，增加项目收入，确保有足够资金偿还债务。密切关注宏观经济和金融政策变化，提前做好应对准备，增强再融资能力，保障项目持续稳定运营。</w:t>
      </w:r>
    </w:p>
    <w:p w14:paraId="101935F7">
      <w:pPr>
        <w:pStyle w:val="2"/>
        <w:bidi w:val="0"/>
        <w:rPr>
          <w:rFonts w:hint="eastAsia"/>
          <w:sz w:val="24"/>
          <w:szCs w:val="24"/>
        </w:rPr>
      </w:pPr>
      <w:r>
        <w:rPr>
          <w:rFonts w:hint="eastAsia"/>
          <w:sz w:val="24"/>
          <w:szCs w:val="24"/>
        </w:rPr>
        <w:t>七、还款保障情况</w:t>
      </w:r>
    </w:p>
    <w:p w14:paraId="568B3BCD">
      <w:pPr>
        <w:keepNext w:val="0"/>
        <w:keepLines w:val="0"/>
        <w:pageBreakBefore w:val="0"/>
        <w:widowControl w:val="0"/>
        <w:kinsoku/>
        <w:wordWrap/>
        <w:overflowPunct/>
        <w:topLinePunct w:val="0"/>
        <w:autoSpaceDE w:val="0"/>
        <w:autoSpaceDN w:val="0"/>
        <w:bidi w:val="0"/>
        <w:adjustRightInd/>
        <w:snapToGrid/>
        <w:spacing w:before="0" w:after="0" w:line="360" w:lineRule="exact"/>
        <w:ind w:left="0" w:firstLine="476" w:firstLineChars="200"/>
        <w:jc w:val="both"/>
        <w:textAlignment w:val="auto"/>
        <w:outlineLvl w:val="9"/>
        <w:rPr>
          <w:rFonts w:hint="default" w:ascii="Times New Roman" w:hAnsi="Times New Roman" w:eastAsia="仿宋" w:cs="Times New Roman"/>
          <w:color w:val="auto"/>
          <w:spacing w:val="-1"/>
          <w:sz w:val="24"/>
          <w:szCs w:val="24"/>
          <w:lang w:val="en-US" w:eastAsia="zh-CN"/>
        </w:rPr>
      </w:pPr>
      <w:r>
        <w:rPr>
          <w:rFonts w:hint="default" w:ascii="Times New Roman" w:hAnsi="Times New Roman" w:eastAsia="仿宋" w:cs="Times New Roman"/>
          <w:color w:val="auto"/>
          <w:spacing w:val="-1"/>
          <w:sz w:val="24"/>
          <w:szCs w:val="24"/>
          <w:lang w:val="en-US" w:eastAsia="zh-CN"/>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390579D5">
      <w:pPr>
        <w:pStyle w:val="2"/>
        <w:bidi w:val="0"/>
        <w:rPr>
          <w:rFonts w:hint="eastAsia"/>
          <w:sz w:val="24"/>
          <w:szCs w:val="24"/>
        </w:rPr>
      </w:pPr>
      <w:r>
        <w:rPr>
          <w:rFonts w:hint="eastAsia"/>
          <w:sz w:val="24"/>
          <w:szCs w:val="24"/>
        </w:rPr>
        <w:t>八、主管部门</w:t>
      </w:r>
      <w:r>
        <w:rPr>
          <w:rFonts w:hint="eastAsia"/>
          <w:sz w:val="24"/>
          <w:szCs w:val="24"/>
          <w:lang w:val="en-US" w:eastAsia="zh-CN"/>
        </w:rPr>
        <w:t>和项目单位</w:t>
      </w:r>
      <w:r>
        <w:rPr>
          <w:rFonts w:hint="eastAsia"/>
          <w:sz w:val="24"/>
          <w:szCs w:val="24"/>
        </w:rPr>
        <w:t>职责</w:t>
      </w:r>
    </w:p>
    <w:p w14:paraId="7966AC59">
      <w:pPr>
        <w:pStyle w:val="4"/>
        <w:pageBreakBefore w:val="0"/>
        <w:widowControl/>
        <w:numPr>
          <w:ilvl w:val="2"/>
          <w:numId w:val="0"/>
        </w:numPr>
        <w:kinsoku/>
        <w:wordWrap/>
        <w:overflowPunct/>
        <w:topLinePunct w:val="0"/>
        <w:autoSpaceDE/>
        <w:autoSpaceDN/>
        <w:bidi w:val="0"/>
        <w:adjustRightInd w:val="0"/>
        <w:snapToGrid w:val="0"/>
        <w:spacing w:beforeAutospacing="0" w:line="360" w:lineRule="auto"/>
        <w:ind w:left="0" w:leftChars="0" w:right="0" w:firstLine="482" w:firstLineChars="200"/>
        <w:textAlignment w:val="auto"/>
        <w:rPr>
          <w:rFonts w:hint="default" w:ascii="Times New Roman" w:hAnsi="Times New Roman" w:eastAsia="仿宋" w:cs="Times New Roman"/>
          <w:color w:val="000000"/>
          <w:sz w:val="24"/>
          <w:szCs w:val="24"/>
          <w:highlight w:val="none"/>
          <w:lang w:val="en-US"/>
        </w:rPr>
      </w:pPr>
      <w:bookmarkStart w:id="51" w:name="_Toc27605"/>
      <w:bookmarkStart w:id="52" w:name="_Toc2695"/>
      <w:bookmarkStart w:id="53" w:name="_Toc32763"/>
      <w:bookmarkStart w:id="54" w:name="_Toc20853"/>
      <w:bookmarkStart w:id="55" w:name="_Toc15135"/>
      <w:bookmarkStart w:id="56" w:name="_Toc28282"/>
      <w:bookmarkStart w:id="57" w:name="_Toc14796"/>
      <w:bookmarkStart w:id="58" w:name="_Toc23526"/>
      <w:bookmarkStart w:id="59" w:name="_Toc8923"/>
      <w:r>
        <w:rPr>
          <w:rFonts w:hint="default" w:ascii="Times New Roman" w:hAnsi="Times New Roman" w:eastAsia="仿宋" w:cs="Times New Roman"/>
          <w:color w:val="000000"/>
          <w:sz w:val="24"/>
          <w:szCs w:val="24"/>
          <w:highlight w:val="none"/>
          <w:lang w:val="en-US"/>
        </w:rPr>
        <w:t>1、主管部门职责</w:t>
      </w:r>
      <w:bookmarkEnd w:id="51"/>
      <w:bookmarkEnd w:id="52"/>
      <w:bookmarkEnd w:id="53"/>
      <w:bookmarkEnd w:id="54"/>
      <w:bookmarkEnd w:id="55"/>
      <w:bookmarkEnd w:id="56"/>
      <w:bookmarkEnd w:id="57"/>
      <w:bookmarkEnd w:id="58"/>
      <w:bookmarkEnd w:id="59"/>
    </w:p>
    <w:p w14:paraId="24C7BCFC">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firstLine="476" w:firstLineChars="200"/>
        <w:jc w:val="both"/>
        <w:textAlignment w:val="auto"/>
        <w:outlineLvl w:val="9"/>
        <w:rPr>
          <w:rFonts w:hint="default" w:ascii="Times New Roman" w:hAnsi="Times New Roman" w:eastAsia="仿宋" w:cs="Times New Roman"/>
          <w:color w:val="auto"/>
          <w:spacing w:val="-1"/>
          <w:sz w:val="24"/>
          <w:szCs w:val="24"/>
          <w:lang w:val="en-US" w:eastAsia="zh-CN"/>
        </w:rPr>
      </w:pPr>
      <w:r>
        <w:rPr>
          <w:rFonts w:hint="default" w:ascii="Times New Roman" w:hAnsi="Times New Roman" w:eastAsia="仿宋" w:cs="Times New Roman"/>
          <w:color w:val="auto"/>
          <w:spacing w:val="-1"/>
          <w:sz w:val="24"/>
          <w:szCs w:val="24"/>
          <w:lang w:val="en-US" w:eastAsia="zh-CN"/>
        </w:rPr>
        <w:t>财政部门职责：负责项目申报发行阶段按照“自审自发”职责分工做好重点审核工作，对债券资金“借、用、管、还”实行全过程监管；指导项目主管部门和项目单位做好事前绩效评估；配合落实项目配套</w:t>
      </w:r>
      <w:r>
        <w:rPr>
          <w:rFonts w:hint="eastAsia" w:ascii="Times New Roman" w:hAnsi="Times New Roman" w:eastAsia="仿宋" w:cs="Times New Roman"/>
          <w:color w:val="auto"/>
          <w:spacing w:val="-1"/>
          <w:sz w:val="24"/>
          <w:szCs w:val="24"/>
          <w:lang w:val="en-US" w:eastAsia="zh-CN"/>
        </w:rPr>
        <w:t>财政</w:t>
      </w:r>
      <w:r>
        <w:rPr>
          <w:rFonts w:hint="default" w:ascii="Times New Roman" w:hAnsi="Times New Roman" w:eastAsia="仿宋" w:cs="Times New Roman"/>
          <w:color w:val="auto"/>
          <w:spacing w:val="-1"/>
          <w:sz w:val="24"/>
          <w:szCs w:val="24"/>
          <w:lang w:val="en-US" w:eastAsia="zh-CN"/>
        </w:rPr>
        <w:t>资金</w:t>
      </w:r>
      <w:r>
        <w:rPr>
          <w:rFonts w:hint="eastAsia" w:ascii="Times New Roman" w:hAnsi="Times New Roman" w:eastAsia="仿宋" w:cs="Times New Roman"/>
          <w:color w:val="auto"/>
          <w:spacing w:val="-1"/>
          <w:sz w:val="24"/>
          <w:szCs w:val="24"/>
          <w:lang w:val="en-US" w:eastAsia="zh-CN"/>
        </w:rPr>
        <w:t>，</w:t>
      </w:r>
      <w:r>
        <w:rPr>
          <w:rFonts w:hint="default" w:ascii="Times New Roman" w:hAnsi="Times New Roman" w:eastAsia="仿宋" w:cs="Times New Roman"/>
          <w:color w:val="auto"/>
          <w:spacing w:val="-1"/>
          <w:sz w:val="24"/>
          <w:szCs w:val="24"/>
          <w:lang w:val="en-US" w:eastAsia="zh-CN"/>
        </w:rPr>
        <w:t>负责按照合同约定或项目进度拨付债券资金；负责督促项目单位按时偿还债券本息；负责会同相关单位将专项债券对应项目形成的国有资产纳入国有资产管理</w:t>
      </w:r>
      <w:r>
        <w:rPr>
          <w:rFonts w:hint="eastAsia" w:ascii="Times New Roman" w:hAnsi="Times New Roman" w:eastAsia="仿宋" w:cs="Times New Roman"/>
          <w:color w:val="auto"/>
          <w:spacing w:val="-1"/>
          <w:sz w:val="24"/>
          <w:szCs w:val="24"/>
          <w:lang w:val="en-US" w:eastAsia="zh-CN"/>
        </w:rPr>
        <w:t>、</w:t>
      </w:r>
      <w:r>
        <w:rPr>
          <w:rFonts w:hint="default" w:ascii="Times New Roman" w:hAnsi="Times New Roman" w:eastAsia="仿宋" w:cs="Times New Roman"/>
          <w:color w:val="auto"/>
          <w:spacing w:val="-1"/>
          <w:sz w:val="24"/>
          <w:szCs w:val="24"/>
          <w:lang w:val="en-US" w:eastAsia="zh-CN"/>
        </w:rPr>
        <w:t>会同</w:t>
      </w:r>
      <w:r>
        <w:rPr>
          <w:rFonts w:hint="eastAsia" w:ascii="Times New Roman" w:hAnsi="Times New Roman" w:eastAsia="仿宋" w:cs="Times New Roman"/>
          <w:color w:val="auto"/>
          <w:spacing w:val="-1"/>
          <w:sz w:val="24"/>
          <w:szCs w:val="24"/>
          <w:lang w:val="en-US" w:eastAsia="zh-CN"/>
        </w:rPr>
        <w:t>相关</w:t>
      </w:r>
      <w:r>
        <w:rPr>
          <w:rFonts w:hint="default" w:ascii="Times New Roman" w:hAnsi="Times New Roman" w:eastAsia="仿宋" w:cs="Times New Roman"/>
          <w:color w:val="auto"/>
          <w:spacing w:val="-1"/>
          <w:sz w:val="24"/>
          <w:szCs w:val="24"/>
          <w:lang w:val="en-US" w:eastAsia="zh-CN"/>
        </w:rPr>
        <w:t>单位加强资产的日常统计和动态监控</w:t>
      </w:r>
      <w:r>
        <w:rPr>
          <w:rFonts w:hint="eastAsia" w:ascii="Times New Roman" w:hAnsi="Times New Roman" w:eastAsia="仿宋" w:cs="Times New Roman"/>
          <w:color w:val="auto"/>
          <w:spacing w:val="-1"/>
          <w:sz w:val="24"/>
          <w:szCs w:val="24"/>
          <w:lang w:val="en-US" w:eastAsia="zh-CN"/>
        </w:rPr>
        <w:t>；</w:t>
      </w:r>
      <w:r>
        <w:rPr>
          <w:rFonts w:hint="default" w:ascii="Times New Roman" w:hAnsi="Times New Roman" w:eastAsia="仿宋" w:cs="Times New Roman"/>
          <w:color w:val="auto"/>
          <w:spacing w:val="-1"/>
          <w:sz w:val="24"/>
          <w:szCs w:val="24"/>
          <w:lang w:val="en-US" w:eastAsia="zh-CN"/>
        </w:rPr>
        <w:t>负责组织债券资金绩效管理；负责政府债券信息公开。</w:t>
      </w:r>
    </w:p>
    <w:p w14:paraId="0044C745">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firstLine="476" w:firstLineChars="200"/>
        <w:jc w:val="both"/>
        <w:textAlignment w:val="auto"/>
        <w:outlineLvl w:val="9"/>
        <w:rPr>
          <w:rFonts w:hint="default" w:ascii="Times New Roman" w:hAnsi="Times New Roman" w:eastAsia="仿宋" w:cs="Times New Roman"/>
          <w:color w:val="auto"/>
          <w:spacing w:val="-1"/>
          <w:sz w:val="24"/>
          <w:szCs w:val="24"/>
          <w:lang w:val="en-US" w:eastAsia="zh-CN"/>
        </w:rPr>
      </w:pPr>
      <w:r>
        <w:rPr>
          <w:rFonts w:hint="eastAsia" w:ascii="Times New Roman" w:hAnsi="Times New Roman" w:eastAsia="仿宋" w:cs="Times New Roman"/>
          <w:color w:val="auto"/>
          <w:spacing w:val="-1"/>
          <w:sz w:val="24"/>
          <w:szCs w:val="24"/>
          <w:lang w:val="en-US" w:eastAsia="zh-CN"/>
        </w:rPr>
        <w:t>发改部门职责</w:t>
      </w:r>
      <w:r>
        <w:rPr>
          <w:rFonts w:hint="default" w:ascii="Times New Roman" w:hAnsi="Times New Roman" w:eastAsia="仿宋" w:cs="Times New Roman"/>
          <w:color w:val="auto"/>
          <w:spacing w:val="-1"/>
          <w:sz w:val="24"/>
          <w:szCs w:val="24"/>
          <w:lang w:val="en-US" w:eastAsia="zh-CN"/>
        </w:rPr>
        <w:t>：负责项目申报发行阶段按照“自审自发”职责分工做好重点审核工作；按时间节点督促项目建设单位认真履行项目建设责任，督促和调度项目建设进度，确保项目如期推进，严格按照</w:t>
      </w:r>
      <w:r>
        <w:rPr>
          <w:rFonts w:hint="eastAsia" w:ascii="Times New Roman" w:hAnsi="Times New Roman" w:eastAsia="仿宋" w:cs="Times New Roman"/>
          <w:color w:val="auto"/>
          <w:spacing w:val="-1"/>
          <w:sz w:val="24"/>
          <w:szCs w:val="24"/>
          <w:lang w:val="en-US" w:eastAsia="zh-CN"/>
        </w:rPr>
        <w:t>相关</w:t>
      </w:r>
      <w:r>
        <w:rPr>
          <w:rFonts w:hint="default" w:ascii="Times New Roman" w:hAnsi="Times New Roman" w:eastAsia="仿宋" w:cs="Times New Roman"/>
          <w:color w:val="auto"/>
          <w:spacing w:val="-1"/>
          <w:sz w:val="24"/>
          <w:szCs w:val="24"/>
          <w:lang w:val="en-US" w:eastAsia="zh-CN"/>
        </w:rPr>
        <w:t>批复文件中列明的建设范围开展建设；负责配合财政部门开展专项债券资金督查工作。</w:t>
      </w:r>
    </w:p>
    <w:p w14:paraId="2E7DDF38">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firstLine="476" w:firstLineChars="200"/>
        <w:jc w:val="both"/>
        <w:textAlignment w:val="auto"/>
        <w:outlineLvl w:val="9"/>
        <w:rPr>
          <w:rFonts w:hint="eastAsia" w:ascii="Times New Roman" w:hAnsi="Times New Roman" w:eastAsia="仿宋" w:cs="Times New Roman"/>
          <w:color w:val="auto"/>
          <w:spacing w:val="-1"/>
          <w:sz w:val="24"/>
          <w:szCs w:val="24"/>
          <w:lang w:val="en-US" w:eastAsia="zh-CN"/>
        </w:rPr>
      </w:pPr>
      <w:r>
        <w:rPr>
          <w:rFonts w:hint="eastAsia" w:ascii="Times New Roman" w:hAnsi="Times New Roman" w:eastAsia="仿宋" w:cs="Times New Roman"/>
          <w:color w:val="auto"/>
          <w:spacing w:val="-1"/>
          <w:sz w:val="24"/>
          <w:szCs w:val="24"/>
          <w:lang w:val="en-US" w:eastAsia="zh-CN"/>
        </w:rPr>
        <w:t>行业</w:t>
      </w:r>
      <w:r>
        <w:rPr>
          <w:rFonts w:hint="default" w:ascii="Times New Roman" w:hAnsi="Times New Roman" w:eastAsia="仿宋" w:cs="Times New Roman"/>
          <w:color w:val="auto"/>
          <w:spacing w:val="-1"/>
          <w:sz w:val="24"/>
          <w:szCs w:val="24"/>
          <w:lang w:val="en-US" w:eastAsia="zh-CN"/>
        </w:rPr>
        <w:t>主管部门</w:t>
      </w:r>
      <w:r>
        <w:rPr>
          <w:rFonts w:hint="eastAsia" w:ascii="Times New Roman" w:hAnsi="Times New Roman" w:eastAsia="仿宋" w:cs="Times New Roman"/>
          <w:color w:val="auto"/>
          <w:spacing w:val="-1"/>
          <w:sz w:val="24"/>
          <w:szCs w:val="24"/>
          <w:lang w:val="en-US" w:eastAsia="zh-CN"/>
        </w:rPr>
        <w:t>职责：</w:t>
      </w:r>
      <w:r>
        <w:rPr>
          <w:rFonts w:hint="default" w:ascii="Times New Roman" w:hAnsi="Times New Roman" w:eastAsia="仿宋" w:cs="Times New Roman"/>
          <w:color w:val="auto"/>
          <w:spacing w:val="-1"/>
          <w:sz w:val="24"/>
          <w:szCs w:val="24"/>
          <w:lang w:val="en-US" w:eastAsia="zh-CN"/>
        </w:rPr>
        <w:t>负责项目申报发行阶段按照“自审自发”职责分工做好重点审核工作，指导本行业专项债券项目规划储备、需求梳理和“一案两书”编制报送，并对其真实性和有效性负责</w:t>
      </w:r>
      <w:r>
        <w:rPr>
          <w:rFonts w:hint="eastAsia" w:ascii="Times New Roman" w:hAnsi="Times New Roman" w:eastAsia="仿宋" w:cs="Times New Roman"/>
          <w:color w:val="auto"/>
          <w:spacing w:val="-1"/>
          <w:sz w:val="24"/>
          <w:szCs w:val="24"/>
          <w:lang w:val="en-US" w:eastAsia="zh-CN"/>
        </w:rPr>
        <w:t>；</w:t>
      </w:r>
      <w:r>
        <w:rPr>
          <w:rFonts w:hint="default" w:ascii="Times New Roman" w:hAnsi="Times New Roman" w:eastAsia="仿宋" w:cs="Times New Roman"/>
          <w:color w:val="auto"/>
          <w:spacing w:val="-1"/>
          <w:sz w:val="24"/>
          <w:szCs w:val="24"/>
          <w:lang w:val="en-US" w:eastAsia="zh-CN"/>
        </w:rPr>
        <w:t>负责指导项目单位开展事前绩效评估，制定绩效目标，同步审核后报同级财政部门审定；负责指导本行业严格按照融资平衡方案规范使用专项债券资金，确保资金专款专用；负责对专项债券项目建设运营情况进行动态监管，统筹协调相关部门保障项目建设进度，如期实现专项收入；负责督促项目单位加强专项债券项目收支管理，确保按照还本付息的要求，将专项债券项目形成的政府性基金收入、专项收入及时足额缴入国库；负责督促项目单位加强专项债券项目对应资产管理，将专项债券项目对应形成的资产转入国有资产管理</w:t>
      </w:r>
      <w:r>
        <w:rPr>
          <w:rFonts w:hint="eastAsia" w:ascii="Times New Roman" w:hAnsi="Times New Roman" w:eastAsia="仿宋" w:cs="Times New Roman"/>
          <w:color w:val="auto"/>
          <w:spacing w:val="-1"/>
          <w:sz w:val="24"/>
          <w:szCs w:val="24"/>
          <w:lang w:val="en-US" w:eastAsia="zh-CN"/>
        </w:rPr>
        <w:t>，确保项目资产独立性和确认资产权益归属，严禁专项债券对应资产和权益用于为融资平台公司等企业融资提供担保和抵押，不对项目资产进行转移和划拨注入企业。</w:t>
      </w:r>
    </w:p>
    <w:p w14:paraId="4A1B6108">
      <w:pPr>
        <w:pStyle w:val="4"/>
        <w:pageBreakBefore w:val="0"/>
        <w:widowControl/>
        <w:numPr>
          <w:ilvl w:val="2"/>
          <w:numId w:val="0"/>
        </w:numPr>
        <w:kinsoku/>
        <w:wordWrap/>
        <w:overflowPunct/>
        <w:topLinePunct w:val="0"/>
        <w:autoSpaceDE/>
        <w:autoSpaceDN/>
        <w:bidi w:val="0"/>
        <w:adjustRightInd w:val="0"/>
        <w:snapToGrid w:val="0"/>
        <w:spacing w:beforeAutospacing="0" w:line="360" w:lineRule="auto"/>
        <w:ind w:left="0" w:leftChars="0" w:right="0" w:firstLine="482" w:firstLineChars="200"/>
        <w:textAlignment w:val="auto"/>
        <w:rPr>
          <w:rFonts w:hint="default" w:ascii="Times New Roman" w:hAnsi="Times New Roman" w:eastAsia="仿宋" w:cs="Times New Roman"/>
          <w:color w:val="000000"/>
          <w:sz w:val="24"/>
          <w:szCs w:val="24"/>
          <w:highlight w:val="none"/>
          <w:lang w:val="en-US"/>
        </w:rPr>
      </w:pPr>
      <w:bookmarkStart w:id="60" w:name="_Toc14153"/>
      <w:bookmarkStart w:id="61" w:name="_Toc17239"/>
      <w:bookmarkStart w:id="62" w:name="_Toc8184"/>
      <w:r>
        <w:rPr>
          <w:rFonts w:hint="default" w:ascii="Times New Roman" w:hAnsi="Times New Roman" w:eastAsia="仿宋" w:cs="Times New Roman"/>
          <w:color w:val="000000"/>
          <w:sz w:val="24"/>
          <w:szCs w:val="24"/>
          <w:highlight w:val="none"/>
          <w:lang w:val="en-US"/>
        </w:rPr>
        <w:t>2、项目单位职责</w:t>
      </w:r>
      <w:bookmarkEnd w:id="60"/>
      <w:bookmarkEnd w:id="61"/>
      <w:bookmarkEnd w:id="62"/>
    </w:p>
    <w:p w14:paraId="5C9F81B2">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firstLine="476" w:firstLineChars="200"/>
        <w:jc w:val="both"/>
        <w:textAlignment w:val="auto"/>
        <w:outlineLvl w:val="9"/>
        <w:rPr>
          <w:rFonts w:hint="default" w:ascii="Times New Roman" w:hAnsi="Times New Roman" w:eastAsia="仿宋" w:cs="Times New Roman"/>
          <w:color w:val="auto"/>
          <w:spacing w:val="-1"/>
          <w:sz w:val="24"/>
          <w:szCs w:val="24"/>
          <w:lang w:val="en-US" w:eastAsia="zh-CN"/>
        </w:rPr>
      </w:pPr>
      <w:r>
        <w:rPr>
          <w:rFonts w:hint="eastAsia" w:ascii="Times New Roman" w:hAnsi="Times New Roman" w:eastAsia="仿宋" w:cs="Times New Roman"/>
          <w:color w:val="auto"/>
          <w:spacing w:val="-1"/>
          <w:sz w:val="24"/>
          <w:szCs w:val="24"/>
          <w:lang w:val="en-US" w:eastAsia="zh-CN"/>
        </w:rPr>
        <w:t>康定市兴睿投资管理有限责任公司作为本项目业主单位，主要职责如下：</w:t>
      </w:r>
    </w:p>
    <w:p w14:paraId="1763C62C">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firstLine="476" w:firstLineChars="200"/>
        <w:jc w:val="both"/>
        <w:textAlignment w:val="auto"/>
        <w:outlineLvl w:val="9"/>
        <w:rPr>
          <w:rFonts w:hint="eastAsia" w:ascii="Times New Roman" w:hAnsi="Times New Roman" w:eastAsia="仿宋" w:cs="Times New Roman"/>
          <w:color w:val="auto"/>
          <w:spacing w:val="-1"/>
          <w:sz w:val="24"/>
          <w:szCs w:val="24"/>
          <w:lang w:val="en-US" w:eastAsia="zh-CN"/>
        </w:rPr>
      </w:pPr>
      <w:r>
        <w:rPr>
          <w:rFonts w:hint="default" w:ascii="Times New Roman" w:hAnsi="Times New Roman" w:eastAsia="仿宋" w:cs="Times New Roman"/>
          <w:color w:val="auto"/>
          <w:spacing w:val="-1"/>
          <w:sz w:val="24"/>
          <w:szCs w:val="24"/>
          <w:lang w:val="en-US" w:eastAsia="zh-CN"/>
        </w:rPr>
        <w:t>负责编制报送“一案两书”，并对其真实性和有效性负责；开展事前绩效评估，制定绩效目标，经项目主管部门审核后，报同级财政部门审定；</w:t>
      </w:r>
      <w:r>
        <w:rPr>
          <w:rFonts w:hint="eastAsia" w:ascii="Times New Roman" w:hAnsi="Times New Roman" w:eastAsia="仿宋" w:cs="Times New Roman"/>
          <w:color w:val="auto"/>
          <w:spacing w:val="-1"/>
          <w:sz w:val="24"/>
          <w:szCs w:val="24"/>
          <w:lang w:val="en-US" w:eastAsia="zh-CN"/>
        </w:rPr>
        <w:t>加强项目前期准备，避免“钱等项目”造成债券资金闲置，在确保资金使用合法合规、工程质量安全的前提下，加快项目建设和资金使用进度。</w:t>
      </w:r>
      <w:r>
        <w:rPr>
          <w:rFonts w:hint="default" w:ascii="Times New Roman" w:hAnsi="Times New Roman" w:eastAsia="仿宋" w:cs="Times New Roman"/>
          <w:color w:val="auto"/>
          <w:spacing w:val="-1"/>
          <w:sz w:val="24"/>
          <w:szCs w:val="24"/>
          <w:lang w:val="en-US" w:eastAsia="zh-CN"/>
        </w:rPr>
        <w:t>负责按照项目融资平衡方案开展项目建设和运营，在依法合规、确保工程质量安全的前提下及时形成支出，对债券资金支付资料的真实性负责</w:t>
      </w:r>
      <w:r>
        <w:rPr>
          <w:rFonts w:hint="eastAsia" w:ascii="Times New Roman" w:hAnsi="Times New Roman" w:eastAsia="仿宋" w:cs="Times New Roman"/>
          <w:color w:val="auto"/>
          <w:spacing w:val="-1"/>
          <w:sz w:val="24"/>
          <w:szCs w:val="24"/>
          <w:lang w:val="en-US" w:eastAsia="zh-CN"/>
        </w:rPr>
        <w:t>。</w:t>
      </w:r>
    </w:p>
    <w:p w14:paraId="6D468AF6">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firstLine="476" w:firstLineChars="200"/>
        <w:jc w:val="both"/>
        <w:textAlignment w:val="auto"/>
        <w:outlineLvl w:val="9"/>
        <w:rPr>
          <w:rFonts w:hint="default" w:ascii="Times New Roman" w:hAnsi="Times New Roman" w:eastAsia="仿宋" w:cs="Times New Roman"/>
          <w:color w:val="auto"/>
          <w:spacing w:val="-1"/>
          <w:sz w:val="24"/>
          <w:szCs w:val="24"/>
          <w:lang w:val="en-US" w:eastAsia="zh-CN"/>
        </w:rPr>
      </w:pPr>
      <w:r>
        <w:rPr>
          <w:rFonts w:hint="default" w:ascii="Times New Roman" w:hAnsi="Times New Roman" w:eastAsia="仿宋" w:cs="Times New Roman"/>
          <w:color w:val="auto"/>
          <w:spacing w:val="-1"/>
          <w:sz w:val="24"/>
          <w:szCs w:val="24"/>
          <w:lang w:val="en-US" w:eastAsia="zh-CN"/>
        </w:rPr>
        <w:t>负责定期评估项目成本、预期收益和对应资产价值等，发现风险及异常情况及时向项目主管部门报告；负责履行项目管理责任，定期向财政部门、发改部门、项目主管部门报告项目实施进度和专项债券资金支出进度、收支结余情况，配合财政、审计等部门</w:t>
      </w:r>
      <w:bookmarkStart w:id="63" w:name="_GoBack"/>
      <w:bookmarkEnd w:id="63"/>
      <w:r>
        <w:rPr>
          <w:rFonts w:hint="default" w:ascii="Times New Roman" w:hAnsi="Times New Roman" w:eastAsia="仿宋" w:cs="Times New Roman"/>
          <w:color w:val="auto"/>
          <w:spacing w:val="-1"/>
          <w:sz w:val="24"/>
          <w:szCs w:val="24"/>
          <w:lang w:val="en-US" w:eastAsia="zh-CN"/>
        </w:rPr>
        <w:t>做好专项债券资金的检查、审计和监督，并对所报送数据的真实性承担相应法律责任；负责专项债券项目收支管理，确保将专项债券项目形成的政府性基金收入、专项收入足额上缴，专门用于专项债券本息偿付</w:t>
      </w:r>
      <w:r>
        <w:rPr>
          <w:rFonts w:hint="eastAsia" w:ascii="Times New Roman" w:hAnsi="Times New Roman" w:eastAsia="仿宋" w:cs="Times New Roman"/>
          <w:color w:val="auto"/>
          <w:spacing w:val="-1"/>
          <w:sz w:val="24"/>
          <w:szCs w:val="24"/>
          <w:lang w:val="en-US" w:eastAsia="zh-CN"/>
        </w:rPr>
        <w:t>。</w:t>
      </w:r>
    </w:p>
    <w:p w14:paraId="5FBEDD04">
      <w:pPr>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firstLine="476" w:firstLineChars="200"/>
        <w:jc w:val="both"/>
        <w:textAlignment w:val="auto"/>
        <w:outlineLvl w:val="9"/>
        <w:rPr>
          <w:rFonts w:hint="eastAsia" w:ascii="Times New Roman" w:hAnsi="Times New Roman" w:eastAsia="仿宋" w:cs="Times New Roman"/>
          <w:color w:val="auto"/>
          <w:spacing w:val="-1"/>
          <w:sz w:val="24"/>
          <w:szCs w:val="24"/>
          <w:lang w:val="zh-CN" w:eastAsia="zh-CN"/>
        </w:rPr>
      </w:pPr>
      <w:r>
        <w:rPr>
          <w:rFonts w:hint="default" w:ascii="Times New Roman" w:hAnsi="Times New Roman" w:eastAsia="仿宋" w:cs="Times New Roman"/>
          <w:color w:val="auto"/>
          <w:spacing w:val="-1"/>
          <w:sz w:val="24"/>
          <w:szCs w:val="24"/>
          <w:lang w:val="en-US" w:eastAsia="zh-CN"/>
        </w:rPr>
        <w:t>负责专项债券项目对应资产管理，将专项债券项目对应形成的资产转入国有资产管理；负责对债券资金使用、项目建设运营和资产管理等情况进行信息公开；负责做好数据填报等相关工作。</w:t>
      </w:r>
    </w:p>
    <w:p w14:paraId="7CE54D5B">
      <w:pPr>
        <w:pStyle w:val="2"/>
        <w:pageBreakBefore w:val="0"/>
        <w:kinsoku/>
        <w:wordWrap/>
        <w:overflowPunct/>
        <w:topLinePunct w:val="0"/>
        <w:bidi w:val="0"/>
        <w:adjustRightInd w:val="0"/>
        <w:snapToGrid w:val="0"/>
        <w:spacing w:line="360" w:lineRule="auto"/>
        <w:textAlignment w:val="auto"/>
        <w:rPr>
          <w:rFonts w:hint="eastAsia"/>
          <w:sz w:val="24"/>
          <w:szCs w:val="24"/>
        </w:rPr>
      </w:pPr>
      <w:r>
        <w:rPr>
          <w:rFonts w:hint="eastAsia"/>
          <w:sz w:val="24"/>
          <w:szCs w:val="24"/>
        </w:rPr>
        <w:t>九、补充说明</w:t>
      </w:r>
    </w:p>
    <w:p w14:paraId="6140C2BA">
      <w:pPr>
        <w:pageBreakBefore w:val="0"/>
        <w:widowControl w:val="0"/>
        <w:kinsoku/>
        <w:wordWrap/>
        <w:overflowPunct/>
        <w:topLinePunct w:val="0"/>
        <w:autoSpaceDE w:val="0"/>
        <w:autoSpaceDN w:val="0"/>
        <w:bidi w:val="0"/>
        <w:adjustRightInd w:val="0"/>
        <w:snapToGrid w:val="0"/>
        <w:spacing w:before="0" w:after="0" w:line="360" w:lineRule="auto"/>
        <w:ind w:left="0" w:firstLine="480" w:firstLineChars="200"/>
        <w:jc w:val="both"/>
        <w:textAlignment w:val="auto"/>
        <w:rPr>
          <w:rFonts w:hint="eastAsia"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szCs w:val="24"/>
        </w:rPr>
        <w:t>根据发行计划及额度安排</w:t>
      </w:r>
      <w:r>
        <w:rPr>
          <w:rFonts w:hint="eastAsia"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此项目202</w:t>
      </w:r>
      <w:r>
        <w:rPr>
          <w:rFonts w:hint="eastAsia" w:ascii="Times New Roman" w:hAnsi="Times New Roman" w:eastAsia="仿宋" w:cs="Times New Roman"/>
          <w:color w:val="auto"/>
          <w:sz w:val="24"/>
          <w:szCs w:val="24"/>
          <w:lang w:val="en-US" w:eastAsia="zh-CN"/>
        </w:rPr>
        <w:t>5</w:t>
      </w:r>
      <w:r>
        <w:rPr>
          <w:rFonts w:hint="default" w:ascii="Times New Roman" w:hAnsi="Times New Roman" w:eastAsia="仿宋" w:cs="Times New Roman"/>
          <w:color w:val="auto"/>
          <w:sz w:val="24"/>
          <w:szCs w:val="24"/>
        </w:rPr>
        <w:t>年拟申请发行</w:t>
      </w:r>
      <w:r>
        <w:rPr>
          <w:rFonts w:hint="eastAsia" w:ascii="Times New Roman" w:hAnsi="Times New Roman" w:eastAsia="仿宋" w:cs="Times New Roman"/>
          <w:color w:val="auto"/>
          <w:sz w:val="24"/>
          <w:szCs w:val="24"/>
          <w:lang w:val="en-US" w:eastAsia="zh-CN"/>
        </w:rPr>
        <w:t>7000</w:t>
      </w:r>
      <w:r>
        <w:rPr>
          <w:rFonts w:hint="default" w:ascii="Times New Roman" w:hAnsi="Times New Roman" w:eastAsia="仿宋" w:cs="Times New Roman"/>
          <w:color w:val="auto"/>
          <w:sz w:val="24"/>
          <w:szCs w:val="24"/>
        </w:rPr>
        <w:t>万元</w:t>
      </w:r>
      <w:r>
        <w:rPr>
          <w:rFonts w:hint="eastAsia"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本次拟发行</w:t>
      </w:r>
      <w:r>
        <w:rPr>
          <w:rFonts w:hint="eastAsia" w:ascii="Times New Roman" w:hAnsi="Times New Roman" w:eastAsia="仿宋" w:cs="Times New Roman"/>
          <w:color w:val="auto"/>
          <w:sz w:val="24"/>
          <w:szCs w:val="24"/>
          <w:lang w:val="en-US" w:eastAsia="zh-CN"/>
        </w:rPr>
        <w:t>4000</w:t>
      </w:r>
      <w:r>
        <w:rPr>
          <w:rFonts w:hint="default" w:ascii="Times New Roman" w:hAnsi="Times New Roman" w:eastAsia="仿宋" w:cs="Times New Roman"/>
          <w:color w:val="auto"/>
          <w:sz w:val="24"/>
          <w:szCs w:val="24"/>
        </w:rPr>
        <w:t>万元</w:t>
      </w:r>
      <w:r>
        <w:rPr>
          <w:rFonts w:hint="eastAsia"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期限</w:t>
      </w:r>
      <w:r>
        <w:rPr>
          <w:rFonts w:hint="eastAsia" w:ascii="Times New Roman" w:hAnsi="Times New Roman" w:eastAsia="仿宋" w:cs="Times New Roman"/>
          <w:color w:val="auto"/>
          <w:sz w:val="24"/>
          <w:szCs w:val="24"/>
          <w:lang w:val="en-US" w:eastAsia="zh-CN"/>
        </w:rPr>
        <w:t>2</w:t>
      </w:r>
      <w:r>
        <w:rPr>
          <w:rFonts w:hint="default" w:ascii="Times New Roman" w:hAnsi="Times New Roman" w:eastAsia="仿宋" w:cs="Times New Roman"/>
          <w:color w:val="auto"/>
          <w:sz w:val="24"/>
          <w:szCs w:val="24"/>
        </w:rPr>
        <w:t>0年</w:t>
      </w:r>
      <w:r>
        <w:rPr>
          <w:rFonts w:hint="eastAsia" w:ascii="Times New Roman" w:hAnsi="Times New Roman" w:eastAsia="仿宋" w:cs="Times New Roman"/>
          <w:color w:val="auto"/>
          <w:sz w:val="24"/>
          <w:szCs w:val="24"/>
          <w:lang w:eastAsia="zh-CN"/>
        </w:rPr>
        <w:t>。</w:t>
      </w:r>
    </w:p>
    <w:p w14:paraId="396BC979">
      <w:pPr>
        <w:pageBreakBefore w:val="0"/>
        <w:widowControl w:val="0"/>
        <w:kinsoku/>
        <w:wordWrap/>
        <w:overflowPunct/>
        <w:topLinePunct w:val="0"/>
        <w:autoSpaceDE w:val="0"/>
        <w:autoSpaceDN w:val="0"/>
        <w:bidi w:val="0"/>
        <w:adjustRightInd w:val="0"/>
        <w:snapToGrid w:val="0"/>
        <w:spacing w:before="0" w:after="0" w:line="360" w:lineRule="exact"/>
        <w:ind w:left="0" w:firstLine="480" w:firstLineChars="200"/>
        <w:jc w:val="both"/>
        <w:textAlignment w:val="auto"/>
        <w:rPr>
          <w:rFonts w:hint="eastAsia" w:ascii="Times New Roman" w:hAnsi="Times New Roman" w:eastAsia="仿宋" w:cs="Times New Roman"/>
          <w:color w:val="auto"/>
          <w:sz w:val="24"/>
          <w:szCs w:val="24"/>
          <w:lang w:val="en-US" w:eastAsia="zh-CN"/>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2FDEF">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65BCC8">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65BCC8">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968DE">
    <w:pPr>
      <w:pStyle w:val="8"/>
      <w:jc w:val="center"/>
      <w:rPr>
        <w:rFonts w:hint="eastAsia"/>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A0006E3">
                          <w:pPr>
                            <w:pStyle w:val="8"/>
                            <w:jc w:val="center"/>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xhWyFcMBAACHAwAADgAAAAAAAAABACAAAAAfAQAAZHJzL2Uyb0RvYy54bWxQ&#10;SwUGAAAAAAYABgBZAQAAVAUAAAAA&#10;">
              <v:fill on="f" focussize="0,0"/>
              <v:stroke on="f"/>
              <v:imagedata o:title=""/>
              <o:lock v:ext="edit" aspectratio="f"/>
              <v:textbox inset="0mm,0mm,0mm,0mm" style="mso-fit-shape-to-text:t;">
                <w:txbxContent>
                  <w:p w14:paraId="4A0006E3">
                    <w:pPr>
                      <w:pStyle w:val="8"/>
                      <w:jc w:val="center"/>
                    </w:pPr>
                    <w:r>
                      <w:fldChar w:fldCharType="begin"/>
                    </w:r>
                    <w:r>
                      <w:instrText xml:space="preserve"> PAGE  \* MERGEFORMAT </w:instrText>
                    </w:r>
                    <w:r>
                      <w:fldChar w:fldCharType="separate"/>
                    </w:r>
                    <w: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2019C">
    <w:pPr>
      <w:pStyle w:val="9"/>
      <w:pBdr>
        <w:bottom w:val="none" w:color="auto" w:sz="0" w:space="1"/>
      </w:pBdr>
      <w:ind w:firstLine="0"/>
      <w:jc w:val="left"/>
      <w:rPr>
        <w:rFonts w:hint="default"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B1D89F"/>
    <w:multiLevelType w:val="singleLevel"/>
    <w:tmpl w:val="DEB1D89F"/>
    <w:lvl w:ilvl="0" w:tentative="0">
      <w:start w:val="6"/>
      <w:numFmt w:val="chineseCounting"/>
      <w:suff w:val="nothing"/>
      <w:lvlText w:val="（%1）"/>
      <w:lvlJc w:val="left"/>
      <w:rPr>
        <w:rFonts w:hint="eastAsia"/>
      </w:rPr>
    </w:lvl>
  </w:abstractNum>
  <w:abstractNum w:abstractNumId="1">
    <w:nsid w:val="00000000"/>
    <w:multiLevelType w:val="singleLevel"/>
    <w:tmpl w:val="00000000"/>
    <w:lvl w:ilvl="0" w:tentative="0">
      <w:start w:val="5"/>
      <w:numFmt w:val="chineseCounting"/>
      <w:suff w:val="nothing"/>
      <w:lvlText w:val="%1、"/>
      <w:lvlJc w:val="left"/>
      <w:rPr>
        <w:rFonts w:hint="eastAsia"/>
      </w:rPr>
    </w:lvl>
  </w:abstractNum>
  <w:abstractNum w:abstractNumId="2">
    <w:nsid w:val="00000001"/>
    <w:multiLevelType w:val="singleLevel"/>
    <w:tmpl w:val="00000001"/>
    <w:lvl w:ilvl="0" w:tentative="0">
      <w:start w:val="2"/>
      <w:numFmt w:val="decimal"/>
      <w:lvlText w:val="%1."/>
      <w:lvlJc w:val="left"/>
      <w:pPr>
        <w:tabs>
          <w:tab w:val="left" w:pos="312"/>
        </w:tabs>
      </w:pPr>
    </w:lvl>
  </w:abstractNum>
  <w:abstractNum w:abstractNumId="3">
    <w:nsid w:val="5060F8AD"/>
    <w:multiLevelType w:val="multilevel"/>
    <w:tmpl w:val="5060F8AD"/>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4"/>
      <w:suff w:val="nothing"/>
      <w:lvlText w:val="%3．"/>
      <w:lvlJc w:val="left"/>
      <w:pPr>
        <w:ind w:left="280" w:firstLine="400"/>
      </w:pPr>
      <w:rPr>
        <w:rFonts w:hint="eastAsia"/>
      </w:rPr>
    </w:lvl>
    <w:lvl w:ilvl="3" w:tentative="0">
      <w:start w:val="1"/>
      <w:numFmt w:val="decimal"/>
      <w:suff w:val="nothing"/>
      <w:lvlText w:val="（%4）"/>
      <w:lvlJc w:val="left"/>
      <w:pPr>
        <w:ind w:left="677"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iODVjYWNhMTQzOWMzMGM5M2ZhOGVkZmMzY2ExOTgifQ=="/>
  </w:docVars>
  <w:rsids>
    <w:rsidRoot w:val="00000000"/>
    <w:rsid w:val="00BC3A1F"/>
    <w:rsid w:val="017E0CD4"/>
    <w:rsid w:val="01AC355F"/>
    <w:rsid w:val="02ED6112"/>
    <w:rsid w:val="03CA4515"/>
    <w:rsid w:val="050F6813"/>
    <w:rsid w:val="0748586A"/>
    <w:rsid w:val="080041F1"/>
    <w:rsid w:val="08912776"/>
    <w:rsid w:val="0C41302A"/>
    <w:rsid w:val="0C43750B"/>
    <w:rsid w:val="0D032F46"/>
    <w:rsid w:val="0DB5388D"/>
    <w:rsid w:val="0E99714E"/>
    <w:rsid w:val="106F460A"/>
    <w:rsid w:val="11605B64"/>
    <w:rsid w:val="116C28F7"/>
    <w:rsid w:val="118216AC"/>
    <w:rsid w:val="11EC1991"/>
    <w:rsid w:val="1210315D"/>
    <w:rsid w:val="125E4936"/>
    <w:rsid w:val="13960100"/>
    <w:rsid w:val="15B66837"/>
    <w:rsid w:val="169D2060"/>
    <w:rsid w:val="17C1746A"/>
    <w:rsid w:val="189B3C8E"/>
    <w:rsid w:val="192C753C"/>
    <w:rsid w:val="1A7801F1"/>
    <w:rsid w:val="1DDB32DF"/>
    <w:rsid w:val="1DE303E5"/>
    <w:rsid w:val="1F78739B"/>
    <w:rsid w:val="227635D6"/>
    <w:rsid w:val="23812232"/>
    <w:rsid w:val="25962731"/>
    <w:rsid w:val="25C04F37"/>
    <w:rsid w:val="28247AFA"/>
    <w:rsid w:val="284F02AF"/>
    <w:rsid w:val="2A5C42DA"/>
    <w:rsid w:val="2A8F2E70"/>
    <w:rsid w:val="2AFA5E80"/>
    <w:rsid w:val="2B87339A"/>
    <w:rsid w:val="2C5D1AC1"/>
    <w:rsid w:val="2EDC0C65"/>
    <w:rsid w:val="2F0F0341"/>
    <w:rsid w:val="2FEF1FB6"/>
    <w:rsid w:val="311D118B"/>
    <w:rsid w:val="31307046"/>
    <w:rsid w:val="329A73A7"/>
    <w:rsid w:val="34AA1521"/>
    <w:rsid w:val="35301D0A"/>
    <w:rsid w:val="35AE688A"/>
    <w:rsid w:val="360016DD"/>
    <w:rsid w:val="362636E9"/>
    <w:rsid w:val="36B606FE"/>
    <w:rsid w:val="3A1A6AE5"/>
    <w:rsid w:val="3CD64F45"/>
    <w:rsid w:val="3DA768E2"/>
    <w:rsid w:val="3DBC384D"/>
    <w:rsid w:val="3F2969DF"/>
    <w:rsid w:val="3FBF0FBD"/>
    <w:rsid w:val="40B4375D"/>
    <w:rsid w:val="41CC4B69"/>
    <w:rsid w:val="4359242C"/>
    <w:rsid w:val="447C2011"/>
    <w:rsid w:val="479003E6"/>
    <w:rsid w:val="4A552346"/>
    <w:rsid w:val="4B9366F7"/>
    <w:rsid w:val="4D6B3488"/>
    <w:rsid w:val="4E276ECF"/>
    <w:rsid w:val="4E6D2B88"/>
    <w:rsid w:val="4EBD41B7"/>
    <w:rsid w:val="4EF851EF"/>
    <w:rsid w:val="4F416B96"/>
    <w:rsid w:val="4FAC17AD"/>
    <w:rsid w:val="520A4EDC"/>
    <w:rsid w:val="525378E7"/>
    <w:rsid w:val="52AA0643"/>
    <w:rsid w:val="53DB785D"/>
    <w:rsid w:val="547E083F"/>
    <w:rsid w:val="5579070C"/>
    <w:rsid w:val="561D2A3F"/>
    <w:rsid w:val="57F6263B"/>
    <w:rsid w:val="5813309A"/>
    <w:rsid w:val="58E47792"/>
    <w:rsid w:val="59CD7278"/>
    <w:rsid w:val="5A102BB5"/>
    <w:rsid w:val="5AAC1050"/>
    <w:rsid w:val="5ADD00EC"/>
    <w:rsid w:val="5C58551F"/>
    <w:rsid w:val="5C9F2273"/>
    <w:rsid w:val="5DF254FF"/>
    <w:rsid w:val="5E68756F"/>
    <w:rsid w:val="5EA3061C"/>
    <w:rsid w:val="5F64400A"/>
    <w:rsid w:val="60EA3B4A"/>
    <w:rsid w:val="60F449B2"/>
    <w:rsid w:val="622668B9"/>
    <w:rsid w:val="63414F5F"/>
    <w:rsid w:val="636724EC"/>
    <w:rsid w:val="63BC45E5"/>
    <w:rsid w:val="65DB0FED"/>
    <w:rsid w:val="667B6E76"/>
    <w:rsid w:val="6A321B28"/>
    <w:rsid w:val="6B0D5727"/>
    <w:rsid w:val="6B3C34F3"/>
    <w:rsid w:val="70136802"/>
    <w:rsid w:val="74265A13"/>
    <w:rsid w:val="74D6660B"/>
    <w:rsid w:val="75616D9B"/>
    <w:rsid w:val="76FF6603"/>
    <w:rsid w:val="772340B3"/>
    <w:rsid w:val="775A7F45"/>
    <w:rsid w:val="77731007"/>
    <w:rsid w:val="78EA354B"/>
    <w:rsid w:val="7A5D2D57"/>
    <w:rsid w:val="7A9674E6"/>
    <w:rsid w:val="7B5B603A"/>
    <w:rsid w:val="7B8632CC"/>
    <w:rsid w:val="7BA05E2A"/>
    <w:rsid w:val="7BB7563E"/>
    <w:rsid w:val="7D2F777E"/>
    <w:rsid w:val="7DCD5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autoRedefine/>
    <w:qFormat/>
    <w:uiPriority w:val="1"/>
    <w:pPr>
      <w:spacing w:line="240" w:lineRule="auto"/>
      <w:ind w:left="0"/>
      <w:outlineLvl w:val="0"/>
    </w:pPr>
    <w:rPr>
      <w:rFonts w:eastAsia="仿宋"/>
      <w:b/>
      <w:bCs/>
      <w:szCs w:val="32"/>
    </w:rPr>
  </w:style>
  <w:style w:type="paragraph" w:styleId="3">
    <w:name w:val="heading 2"/>
    <w:basedOn w:val="1"/>
    <w:next w:val="1"/>
    <w:autoRedefine/>
    <w:qFormat/>
    <w:uiPriority w:val="9"/>
    <w:pPr>
      <w:keepNext/>
      <w:keepLines/>
      <w:autoSpaceDE w:val="0"/>
      <w:autoSpaceDN w:val="0"/>
      <w:adjustRightInd w:val="0"/>
      <w:spacing w:before="50" w:beforeLines="50"/>
      <w:ind w:left="0" w:leftChars="0"/>
      <w:jc w:val="left"/>
      <w:outlineLvl w:val="1"/>
    </w:pPr>
    <w:rPr>
      <w:rFonts w:eastAsia="仿宋"/>
      <w:b/>
      <w:bCs/>
      <w:szCs w:val="30"/>
    </w:rPr>
  </w:style>
  <w:style w:type="paragraph" w:styleId="4">
    <w:name w:val="heading 3"/>
    <w:basedOn w:val="1"/>
    <w:next w:val="5"/>
    <w:unhideWhenUsed/>
    <w:qFormat/>
    <w:uiPriority w:val="9"/>
    <w:pPr>
      <w:keepNext/>
      <w:keepLines/>
      <w:numPr>
        <w:ilvl w:val="2"/>
        <w:numId w:val="1"/>
      </w:numPr>
      <w:tabs>
        <w:tab w:val="left" w:pos="0"/>
        <w:tab w:val="left" w:pos="3285"/>
      </w:tabs>
      <w:spacing w:line="360" w:lineRule="auto"/>
      <w:ind w:left="0" w:firstLine="0" w:firstLineChars="0"/>
      <w:outlineLvl w:val="2"/>
    </w:pPr>
    <w:rPr>
      <w:b/>
      <w:bCs/>
      <w:szCs w:val="30"/>
    </w:rPr>
  </w:style>
  <w:style w:type="character" w:default="1" w:styleId="14">
    <w:name w:val="Default Paragraph Font"/>
    <w:qFormat/>
    <w:uiPriority w:val="0"/>
  </w:style>
  <w:style w:type="table" w:default="1" w:styleId="12">
    <w:name w:val="Normal Table"/>
    <w:autoRedefine/>
    <w:qFormat/>
    <w:uiPriority w:val="0"/>
    <w:tblPr>
      <w:tblCellMar>
        <w:top w:w="0" w:type="dxa"/>
        <w:left w:w="108" w:type="dxa"/>
        <w:bottom w:w="0" w:type="dxa"/>
        <w:right w:w="108" w:type="dxa"/>
      </w:tblCellMar>
    </w:tblPr>
  </w:style>
  <w:style w:type="paragraph" w:styleId="5">
    <w:name w:val="Normal Indent"/>
    <w:basedOn w:val="1"/>
    <w:semiHidden/>
    <w:unhideWhenUsed/>
    <w:qFormat/>
    <w:uiPriority w:val="99"/>
    <w:pPr>
      <w:widowControl w:val="0"/>
      <w:spacing w:before="0" w:beforeLines="0" w:after="0" w:afterLines="0" w:line="400" w:lineRule="exact"/>
      <w:ind w:firstLine="420" w:firstLineChars="0"/>
      <w:jc w:val="both"/>
    </w:pPr>
    <w:rPr>
      <w:rFonts w:ascii="Times New Roman" w:hAnsi="Times New Roman" w:cs="Times New Roman"/>
      <w:spacing w:val="20"/>
      <w:sz w:val="28"/>
      <w:szCs w:val="20"/>
    </w:rPr>
  </w:style>
  <w:style w:type="paragraph" w:styleId="6">
    <w:name w:val="Body Text"/>
    <w:basedOn w:val="1"/>
    <w:next w:val="7"/>
    <w:autoRedefine/>
    <w:qFormat/>
    <w:uiPriority w:val="99"/>
    <w:pPr>
      <w:adjustRightInd w:val="0"/>
      <w:snapToGrid w:val="0"/>
      <w:spacing w:before="100" w:beforeAutospacing="1" w:after="120"/>
    </w:pPr>
    <w:rPr>
      <w:sz w:val="20"/>
      <w:szCs w:val="20"/>
    </w:rPr>
  </w:style>
  <w:style w:type="paragraph" w:styleId="7">
    <w:name w:val="toc 1"/>
    <w:basedOn w:val="1"/>
    <w:next w:val="1"/>
    <w:autoRedefine/>
    <w:qFormat/>
    <w:uiPriority w:val="39"/>
  </w:style>
  <w:style w:type="paragraph" w:styleId="8">
    <w:name w:val="footer"/>
    <w:basedOn w:val="1"/>
    <w:autoRedefine/>
    <w:qFormat/>
    <w:uiPriority w:val="99"/>
    <w:pPr>
      <w:tabs>
        <w:tab w:val="center" w:pos="4153"/>
        <w:tab w:val="right" w:pos="8306"/>
      </w:tabs>
      <w:snapToGrid w:val="0"/>
      <w:spacing w:line="240" w:lineRule="auto"/>
    </w:pPr>
    <w:rPr>
      <w:sz w:val="18"/>
      <w:szCs w:val="18"/>
    </w:rPr>
  </w:style>
  <w:style w:type="paragraph" w:styleId="9">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table of figures"/>
    <w:basedOn w:val="1"/>
    <w:next w:val="1"/>
    <w:autoRedefine/>
    <w:qFormat/>
    <w:uiPriority w:val="99"/>
    <w:pPr>
      <w:widowControl w:val="0"/>
      <w:adjustRightInd w:val="0"/>
      <w:spacing w:before="0" w:after="0" w:line="480" w:lineRule="auto"/>
      <w:ind w:left="200" w:leftChars="200" w:hanging="200" w:hangingChars="200"/>
      <w:jc w:val="both"/>
      <w:textAlignment w:val="baseline"/>
    </w:pPr>
    <w:rPr>
      <w:rFonts w:ascii="Times New Roman" w:hAnsi="Times New Roman" w:cs="Times New Roman"/>
      <w:sz w:val="28"/>
      <w:szCs w:val="21"/>
      <w:lang w:val="zh-CN"/>
    </w:rPr>
  </w:style>
  <w:style w:type="paragraph" w:styleId="11">
    <w:name w:val="Body Text First Indent"/>
    <w:basedOn w:val="6"/>
    <w:autoRedefine/>
    <w:qFormat/>
    <w:uiPriority w:val="99"/>
    <w:pPr>
      <w:ind w:firstLine="420" w:firstLineChars="100"/>
    </w:pPr>
    <w:rPr>
      <w:rFonts w:ascii="Times New Roman" w:hAnsi="Times New Roman"/>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4014</Words>
  <Characters>4301</Characters>
  <Paragraphs>442</Paragraphs>
  <TotalTime>0</TotalTime>
  <ScaleCrop>false</ScaleCrop>
  <LinksUpToDate>false</LinksUpToDate>
  <CharactersWithSpaces>4305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2022-09-29T09:15:00Z</dcterms:created>
  <dc:creator>65454</dc:creator>
  <cp:lastModifiedBy>  李雪平</cp:lastModifiedBy>
  <dcterms:modified xsi:type="dcterms:W3CDTF">2025-07-04T02:11:15Z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64BDC07A45C94B0AB05C5E38C650D0A6</vt:lpwstr>
  </property>
  <property fmtid="{D5CDD505-2E9C-101B-9397-08002B2CF9AE}" pid="4" name="KSOTemplateDocerSaveRecord">
    <vt:lpwstr>eyJoZGlkIjoiMWUyNDIxZmRiMDgzYzc5OWUzNTBhZDdmNjMzMjViYWYiLCJ1c2VySWQiOiI0MDQ1ODMzMzYifQ==</vt:lpwstr>
  </property>
</Properties>
</file>